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StatsPAI: An Agent-Native Python Toolkit for Causal Inference and Applied Econometrics</w:t>
      </w:r>
    </w:p>
    <w:p>
      <w:pPr>
        <w:pStyle w:val="Date"/>
      </w:pPr>
      <w:r>
        <w:t xml:space="preserve">9 May 2026</w:t>
      </w:r>
    </w:p>
    <w:p>
      <w:pPr>
        <w:pStyle w:val="FirstParagraph"/>
      </w:pPr>
      <w:r>
        <w:t xml:space="preserve">Biaoyue Wang</w:t>
      </w:r>
      <w:r>
        <w:rPr>
          <w:vertAlign w:val="superscript"/>
        </w:rPr>
        <w:t xml:space="preserve">1,2</w:t>
      </w:r>
      <w:r>
        <w:t xml:space="preserve">,*; Scott Rozelle</w:t>
      </w:r>
      <w:r>
        <w:rPr>
          <w:vertAlign w:val="superscript"/>
        </w:rPr>
        <w:t xml:space="preserve">1,2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Rural Education Action Program, Stanford Center on China’s Economy and Institutions, Stanford University, United States</w:t>
      </w:r>
      <w:r>
        <w:br/>
      </w:r>
      <w:r>
        <w:rPr>
          <w:vertAlign w:val="superscript"/>
        </w:rPr>
        <w:t xml:space="preserve">2</w:t>
      </w:r>
      <w:r>
        <w:t xml:space="preserve"> </w:t>
      </w:r>
      <w:r>
        <w:t xml:space="preserve">StatsPAI Inc., United States</w:t>
      </w:r>
    </w:p>
    <w:p>
      <w:pPr>
        <w:pStyle w:val="BodyText"/>
      </w:pPr>
      <w:r>
        <w:t xml:space="preserve">Author emails: Biaoyue Wang</w:t>
      </w:r>
      <w:r>
        <w:t xml:space="preserve"> </w:t>
      </w:r>
      <w:hyperlink r:id="rId9">
        <w:r>
          <w:rPr>
            <w:rStyle w:val="Hyperlink"/>
          </w:rPr>
          <w:t xml:space="preserve">brycew6m@stanford.edu</w:t>
        </w:r>
      </w:hyperlink>
      <w:r>
        <w:t xml:space="preserve">; Scott Rozelle</w:t>
      </w:r>
      <w:r>
        <w:t xml:space="preserve"> </w:t>
      </w:r>
      <w:hyperlink r:id="rId10">
        <w:r>
          <w:rPr>
            <w:rStyle w:val="Hyperlink"/>
          </w:rPr>
          <w:t xml:space="preserve">rozelle@stanford.edu</w:t>
        </w:r>
      </w:hyperlink>
      <w:r>
        <w:br/>
      </w:r>
      <w:r>
        <w:rPr>
          <w:i/>
          <w:iCs/>
        </w:rPr>
        <w:t xml:space="preserve">Corresponding author: Biaoyue Wang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brycew6m@stanford.edu</w:t>
        </w:r>
      </w:hyperlink>
    </w:p>
    <w:bookmarkStart w:id="12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rPr>
          <w:rStyle w:val="VerbatimChar"/>
        </w:rPr>
        <w:t xml:space="preserve">StatsPAI</w:t>
      </w:r>
      <w:r>
        <w:t xml:space="preserve"> </w:t>
      </w:r>
      <w:r>
        <w:t xml:space="preserve">is an open-source Python package for causal inference and</w:t>
      </w:r>
      <w:r>
        <w:t xml:space="preserve"> </w:t>
      </w:r>
      <w:r>
        <w:t xml:space="preserve">applied econometrics. It gives empirical researchers a single interface</w:t>
      </w:r>
      <w:r>
        <w:t xml:space="preserve"> </w:t>
      </w:r>
      <w:r>
        <w:t xml:space="preserve">for estimating, diagnosing, comparing, and reporting models that are</w:t>
      </w:r>
      <w:r>
        <w:t xml:space="preserve"> </w:t>
      </w:r>
      <w:r>
        <w:t xml:space="preserve">usually spread across many specialized packages or proprietary</w:t>
      </w:r>
      <w:r>
        <w:t xml:space="preserve"> </w:t>
      </w:r>
      <w:r>
        <w:t xml:space="preserve">statistical environments. The package currently exposes more than 950</w:t>
      </w:r>
      <w:r>
        <w:t xml:space="preserve"> </w:t>
      </w:r>
      <w:r>
        <w:t xml:space="preserve">registered functions across more than 80 submodules, covering classical</w:t>
      </w:r>
      <w:r>
        <w:t xml:space="preserve"> </w:t>
      </w:r>
      <w:r>
        <w:t xml:space="preserve">regression, instrumental variables, panel data, difference-in-differences,</w:t>
      </w:r>
      <w:r>
        <w:t xml:space="preserve"> </w:t>
      </w:r>
      <w:r>
        <w:t xml:space="preserve">regression discontinuity, synthetic control, matching,</w:t>
      </w:r>
      <w:r>
        <w:t xml:space="preserve"> </w:t>
      </w:r>
      <w:r>
        <w:t xml:space="preserve">stochastic frontier analysis, mixed-effects models, decomposition</w:t>
      </w:r>
      <w:r>
        <w:t xml:space="preserve"> </w:t>
      </w:r>
      <w:r>
        <w:t xml:space="preserve">methods, sensitivity analysis, and modern machine-learning estimators</w:t>
      </w:r>
      <w:r>
        <w:t xml:space="preserve"> </w:t>
      </w:r>
      <w:r>
        <w:t xml:space="preserve">for heterogeneous treatment effects.</w:t>
      </w:r>
    </w:p>
    <w:p>
      <w:pPr>
        <w:pStyle w:val="BodyText"/>
      </w:pPr>
      <w:r>
        <w:t xml:space="preserve">The package is designed for policy evaluation, social science research,</w:t>
      </w:r>
      <w:r>
        <w:t xml:space="preserve"> </w:t>
      </w:r>
      <w:r>
        <w:t xml:space="preserve">and other empirical workflows where researchers must move between</w:t>
      </w:r>
      <w:r>
        <w:t xml:space="preserve"> </w:t>
      </w:r>
      <w:r>
        <w:t xml:space="preserve">research design, estimation, diagnostics, robustness checks, and</w:t>
      </w:r>
      <w:r>
        <w:t xml:space="preserve"> </w:t>
      </w:r>
      <w:r>
        <w:t xml:space="preserve">publication tables. A common result contract gives users</w:t>
      </w:r>
      <w:r>
        <w:t xml:space="preserve"> </w:t>
      </w:r>
      <w:r>
        <w:rPr>
          <w:rStyle w:val="VerbatimChar"/>
        </w:rPr>
        <w:t xml:space="preserve">.summary()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.plot()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.to_latex()</w:t>
      </w:r>
      <w:r>
        <w:t xml:space="preserve">,</w:t>
      </w:r>
      <w:r>
        <w:t xml:space="preserve"> </w:t>
      </w:r>
      <w:r>
        <w:rPr>
          <w:rStyle w:val="VerbatimChar"/>
        </w:rPr>
        <w:t xml:space="preserve">.to_docx()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.cite()</w:t>
      </w:r>
      <w:r>
        <w:t xml:space="preserve"> </w:t>
      </w:r>
      <w:r>
        <w:t xml:space="preserve">methods where</w:t>
      </w:r>
      <w:r>
        <w:t xml:space="preserve"> </w:t>
      </w:r>
      <w:r>
        <w:t xml:space="preserve">appropriate.</w:t>
      </w:r>
      <w:r>
        <w:t xml:space="preserve"> </w:t>
      </w:r>
      <w:r>
        <w:rPr>
          <w:rStyle w:val="VerbatimChar"/>
        </w:rPr>
        <w:t xml:space="preserve">StatsPAI</w:t>
      </w:r>
      <w:r>
        <w:t xml:space="preserve"> </w:t>
      </w:r>
      <w:r>
        <w:t xml:space="preserve">is also agent-native: registered functions</w:t>
      </w:r>
      <w:r>
        <w:t xml:space="preserve"> </w:t>
      </w:r>
      <w:r>
        <w:t xml:space="preserve">expose machine-readable schemas and structured failure metadata so that</w:t>
      </w:r>
      <w:r>
        <w:t xml:space="preserve"> </w:t>
      </w:r>
      <w:r>
        <w:t xml:space="preserve">LLM-driven research assistants can discover estimators, choose among</w:t>
      </w:r>
      <w:r>
        <w:t xml:space="preserve"> </w:t>
      </w:r>
      <w:r>
        <w:t xml:space="preserve">alternatives, and surface assumptions without parsing free-form prose.</w:t>
      </w:r>
      <w:r>
        <w:t xml:space="preserve"> </w:t>
      </w:r>
      <w:r>
        <w:t xml:space="preserve">The source code is available at</w:t>
      </w:r>
      <w:r>
        <w:t xml:space="preserve"> </w:t>
      </w:r>
      <w:hyperlink r:id="rId11">
        <w:r>
          <w:rPr>
            <w:rStyle w:val="Hyperlink"/>
          </w:rPr>
          <w:t xml:space="preserve">https://github.com/brycewang-stanford/statspai</w:t>
        </w:r>
      </w:hyperlink>
      <w:r>
        <w:t xml:space="preserve">.</w:t>
      </w:r>
    </w:p>
    <w:bookmarkEnd w:id="12"/>
    <w:bookmarkStart w:id="13" w:name="statement-of-need"/>
    <w:p>
      <w:pPr>
        <w:pStyle w:val="Heading1"/>
      </w:pPr>
      <w:r>
        <w:t xml:space="preserve">Statement of Need</w:t>
      </w:r>
    </w:p>
    <w:p>
      <w:pPr>
        <w:pStyle w:val="FirstParagraph"/>
      </w:pPr>
      <w:r>
        <w:t xml:space="preserve">Applied researchers face a fragmented software landscape. Stata offers</w:t>
      </w:r>
      <w:r>
        <w:t xml:space="preserve"> </w:t>
      </w:r>
      <w:r>
        <w:t xml:space="preserve">an integrated workflow, but it is proprietary and does not expose a</w:t>
      </w:r>
      <w:r>
        <w:t xml:space="preserve"> </w:t>
      </w:r>
      <w:r>
        <w:t xml:space="preserve">typed, machine-readable interface for AI-assisted analysis. R provides</w:t>
      </w:r>
      <w:r>
        <w:t xml:space="preserve"> </w:t>
      </w:r>
      <w:r>
        <w:t xml:space="preserve">excellent method-specific packages such as</w:t>
      </w:r>
      <w:r>
        <w:t xml:space="preserve"> </w:t>
      </w:r>
      <w:r>
        <w:rPr>
          <w:rStyle w:val="VerbatimChar"/>
        </w:rPr>
        <w:t xml:space="preserve">did</w:t>
      </w:r>
      <w:r>
        <w:t xml:space="preserve">,</w:t>
      </w:r>
      <w:r>
        <w:t xml:space="preserve"> </w:t>
      </w:r>
      <w:r>
        <w:rPr>
          <w:rStyle w:val="VerbatimChar"/>
        </w:rPr>
        <w:t xml:space="preserve">rdrobust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Synth</w:t>
      </w:r>
      <w:r>
        <w:t xml:space="preserve">,</w:t>
      </w:r>
      <w:r>
        <w:t xml:space="preserve"> </w:t>
      </w:r>
      <w:r>
        <w:rPr>
          <w:rStyle w:val="VerbatimChar"/>
        </w:rPr>
        <w:t xml:space="preserve">grf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lme4</w:t>
      </w:r>
      <w:r>
        <w:t xml:space="preserve">, but these packages use different APIs, object</w:t>
      </w:r>
      <w:r>
        <w:t xml:space="preserve"> </w:t>
      </w:r>
      <w:r>
        <w:t xml:space="preserve">systems, output conventions, and diagnostic workflows</w:t>
      </w:r>
      <w:r>
        <w:t xml:space="preserve"> </w:t>
      </w:r>
      <w:r>
        <w:t xml:space="preserve">(Callaway and Sant’Anna 2021; Calonico, Cattaneo, and Titiunik 2014; Abadie, Diamond, and Hainmueller 2010; Wager and Athey 2018; Bates et al. 2015)</w:t>
      </w:r>
      <w:r>
        <w:t xml:space="preserve">. Python has strong pieces of the</w:t>
      </w:r>
      <w:r>
        <w:t xml:space="preserve"> </w:t>
      </w:r>
      <w:r>
        <w:t xml:space="preserve">causal inference ecosystem, including</w:t>
      </w:r>
      <w:r>
        <w:t xml:space="preserve"> </w:t>
      </w:r>
      <w:r>
        <w:rPr>
          <w:rStyle w:val="VerbatimChar"/>
        </w:rPr>
        <w:t xml:space="preserve">DoWhy</w:t>
      </w:r>
      <w:r>
        <w:t xml:space="preserve"> </w:t>
      </w:r>
      <w:r>
        <w:t xml:space="preserve">for graphical causal</w:t>
      </w:r>
      <w:r>
        <w:t xml:space="preserve"> </w:t>
      </w:r>
      <w:r>
        <w:t xml:space="preserve">models</w:t>
      </w:r>
      <w:r>
        <w:t xml:space="preserve"> </w:t>
      </w:r>
      <w:r>
        <w:t xml:space="preserve">(Sharma and Kiciman 2020)</w:t>
      </w:r>
      <w:r>
        <w:t xml:space="preserve">,</w:t>
      </w:r>
      <w:r>
        <w:t xml:space="preserve"> </w:t>
      </w:r>
      <w:r>
        <w:rPr>
          <w:rStyle w:val="VerbatimChar"/>
        </w:rPr>
        <w:t xml:space="preserve">EconML</w:t>
      </w:r>
      <w:r>
        <w:t xml:space="preserve"> </w:t>
      </w:r>
      <w:r>
        <w:t xml:space="preserve">for machine-learning treatment</w:t>
      </w:r>
      <w:r>
        <w:t xml:space="preserve"> </w:t>
      </w:r>
      <w:r>
        <w:t xml:space="preserve">effect estimation</w:t>
      </w:r>
      <w:r>
        <w:t xml:space="preserve"> </w:t>
      </w:r>
      <w:r>
        <w:t xml:space="preserve">(Battocchi et al. 2019)</w:t>
      </w:r>
      <w:r>
        <w:t xml:space="preserve">,</w:t>
      </w:r>
      <w:r>
        <w:t xml:space="preserve"> </w:t>
      </w:r>
      <w:r>
        <w:rPr>
          <w:rStyle w:val="VerbatimChar"/>
        </w:rPr>
        <w:t xml:space="preserve">CausalML</w:t>
      </w:r>
      <w:r>
        <w:t xml:space="preserve"> </w:t>
      </w:r>
      <w:r>
        <w:t xml:space="preserve">for uplift modeling</w:t>
      </w:r>
      <w:r>
        <w:t xml:space="preserve"> </w:t>
      </w:r>
      <w:r>
        <w:t xml:space="preserve">(Chen et al. 2020)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DoubleML</w:t>
      </w:r>
      <w:r>
        <w:t xml:space="preserve"> </w:t>
      </w:r>
      <w:r>
        <w:t xml:space="preserve">for double/debiased machine</w:t>
      </w:r>
      <w:r>
        <w:t xml:space="preserve"> </w:t>
      </w:r>
      <w:r>
        <w:t xml:space="preserve">learning</w:t>
      </w:r>
      <w:r>
        <w:t xml:space="preserve"> </w:t>
      </w:r>
      <w:r>
        <w:t xml:space="preserve">(Bach et al. 2022)</w:t>
      </w:r>
      <w:r>
        <w:t xml:space="preserve">. None of these tools, however, is intended</w:t>
      </w:r>
      <w:r>
        <w:t xml:space="preserve"> </w:t>
      </w:r>
      <w:r>
        <w:t xml:space="preserve">to cover the full applied-econometrics workflow from design diagnosis</w:t>
      </w:r>
      <w:r>
        <w:t xml:space="preserve"> </w:t>
      </w:r>
      <w:r>
        <w:t xml:space="preserve">through estimation, robustness, and publication output.</w:t>
      </w:r>
    </w:p>
    <w:p>
      <w:pPr>
        <w:pStyle w:val="BodyText"/>
      </w:pPr>
      <w:r>
        <w:rPr>
          <w:rStyle w:val="VerbatimChar"/>
        </w:rPr>
        <w:t xml:space="preserve">StatsPAI</w:t>
      </w:r>
      <w:r>
        <w:t xml:space="preserve"> </w:t>
      </w:r>
      <w:r>
        <w:t xml:space="preserve">addresses this gap for graduate students, applied</w:t>
      </w:r>
      <w:r>
        <w:t xml:space="preserve"> </w:t>
      </w:r>
      <w:r>
        <w:t xml:space="preserve">economists, policy researchers, and data scientists who want a</w:t>
      </w:r>
      <w:r>
        <w:t xml:space="preserve"> </w:t>
      </w:r>
      <w:r>
        <w:t xml:space="preserve">Python-native workflow without giving up the breadth of Stata or the</w:t>
      </w:r>
      <w:r>
        <w:t xml:space="preserve"> </w:t>
      </w:r>
      <w:r>
        <w:t xml:space="preserve">methodological depth of R. Its goal is not to replace every specialized</w:t>
      </w:r>
      <w:r>
        <w:t xml:space="preserve"> </w:t>
      </w:r>
      <w:r>
        <w:t xml:space="preserve">implementation. Instead, it provides a coherent empirical workspace:</w:t>
      </w:r>
      <w:r>
        <w:t xml:space="preserve"> </w:t>
      </w:r>
      <w:r>
        <w:t xml:space="preserve">shared formula conventions, common result objects, consistent export</w:t>
      </w:r>
      <w:r>
        <w:t xml:space="preserve"> </w:t>
      </w:r>
      <w:r>
        <w:t xml:space="preserve">methods, citations attached to estimators, and validation metadata that</w:t>
      </w:r>
      <w:r>
        <w:t xml:space="preserve"> </w:t>
      </w:r>
      <w:r>
        <w:t xml:space="preserve">make the relationship between methods, assumptions, and evidence</w:t>
      </w:r>
      <w:r>
        <w:t xml:space="preserve"> </w:t>
      </w:r>
      <w:r>
        <w:t xml:space="preserve">explicit.</w:t>
      </w:r>
    </w:p>
    <w:bookmarkEnd w:id="13"/>
    <w:bookmarkStart w:id="14" w:name="state-of-the-field"/>
    <w:p>
      <w:pPr>
        <w:pStyle w:val="Heading1"/>
      </w:pPr>
      <w:r>
        <w:t xml:space="preserve">State of the Field</w:t>
      </w:r>
    </w:p>
    <w:p>
      <w:pPr>
        <w:pStyle w:val="FirstParagraph"/>
      </w:pPr>
      <w:r>
        <w:t xml:space="preserve">Existing Python packages are strongest when they focus on a narrower</w:t>
      </w:r>
      <w:r>
        <w:t xml:space="preserve"> </w:t>
      </w:r>
      <w:r>
        <w:t xml:space="preserve">problem.</w:t>
      </w:r>
      <w:r>
        <w:t xml:space="preserve"> </w:t>
      </w:r>
      <w:r>
        <w:rPr>
          <w:rStyle w:val="VerbatimChar"/>
        </w:rPr>
        <w:t xml:space="preserve">DoWhy</w:t>
      </w:r>
      <w:r>
        <w:t xml:space="preserve"> </w:t>
      </w:r>
      <w:r>
        <w:t xml:space="preserve">emphasizes identification, graphical assumptions, and</w:t>
      </w:r>
      <w:r>
        <w:t xml:space="preserve"> </w:t>
      </w:r>
      <w:r>
        <w:t xml:space="preserve">refutation;</w:t>
      </w:r>
      <w:r>
        <w:t xml:space="preserve"> </w:t>
      </w:r>
      <w:r>
        <w:rPr>
          <w:rStyle w:val="VerbatimChar"/>
        </w:rPr>
        <w:t xml:space="preserve">EconML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CausalML</w:t>
      </w:r>
      <w:r>
        <w:t xml:space="preserve"> </w:t>
      </w:r>
      <w:r>
        <w:t xml:space="preserve">focus on heterogeneous effects and</w:t>
      </w:r>
      <w:r>
        <w:t xml:space="preserve"> </w:t>
      </w:r>
      <w:r>
        <w:t xml:space="preserve">uplift modeling;</w:t>
      </w:r>
      <w:r>
        <w:t xml:space="preserve"> </w:t>
      </w:r>
      <w:r>
        <w:rPr>
          <w:rStyle w:val="VerbatimChar"/>
        </w:rPr>
        <w:t xml:space="preserve">DoubleML</w:t>
      </w:r>
      <w:r>
        <w:t xml:space="preserve"> </w:t>
      </w:r>
      <w:r>
        <w:t xml:space="preserve">implements orthogonal-score estimators for a</w:t>
      </w:r>
      <w:r>
        <w:t xml:space="preserve"> </w:t>
      </w:r>
      <w:r>
        <w:t xml:space="preserve">well-defined family of double machine-learning designs. These packages</w:t>
      </w:r>
      <w:r>
        <w:t xml:space="preserve"> </w:t>
      </w:r>
      <w:r>
        <w:t xml:space="preserve">are complementary to</w:t>
      </w:r>
      <w:r>
        <w:t xml:space="preserve"> </w:t>
      </w:r>
      <w:r>
        <w:rPr>
          <w:rStyle w:val="VerbatimChar"/>
        </w:rPr>
        <w:t xml:space="preserve">StatsPAI</w:t>
      </w:r>
      <w:r>
        <w:t xml:space="preserve">, and several ideas in</w:t>
      </w:r>
      <w:r>
        <w:t xml:space="preserve"> </w:t>
      </w:r>
      <w:r>
        <w:rPr>
          <w:rStyle w:val="VerbatimChar"/>
        </w:rPr>
        <w:t xml:space="preserve">StatsPAI</w:t>
      </w:r>
      <w:r>
        <w:t xml:space="preserve"> </w:t>
      </w:r>
      <w:r>
        <w:t xml:space="preserve">follow</w:t>
      </w:r>
      <w:r>
        <w:t xml:space="preserve"> </w:t>
      </w:r>
      <w:r>
        <w:t xml:space="preserve">the same methodological literature, including double/debiased machine</w:t>
      </w:r>
      <w:r>
        <w:t xml:space="preserve"> </w:t>
      </w:r>
      <w:r>
        <w:t xml:space="preserve">learning</w:t>
      </w:r>
      <w:r>
        <w:t xml:space="preserve"> </w:t>
      </w:r>
      <w:r>
        <w:t xml:space="preserve">(Chernozhukov et al. 2018)</w:t>
      </w:r>
      <w:r>
        <w:t xml:space="preserve">, causal forests</w:t>
      </w:r>
      <w:r>
        <w:t xml:space="preserve"> </w:t>
      </w:r>
      <w:r>
        <w:t xml:space="preserve">(Wager and Athey 2018)</w:t>
      </w:r>
      <w:r>
        <w:t xml:space="preserve">, and meta-learners</w:t>
      </w:r>
      <w:r>
        <w:t xml:space="preserve"> </w:t>
      </w:r>
      <w:r>
        <w:t xml:space="preserve">(Künzel et al. 2019)</w:t>
      </w:r>
      <w:r>
        <w:t xml:space="preserve">.</w:t>
      </w:r>
    </w:p>
    <w:p>
      <w:pPr>
        <w:pStyle w:val="BodyText"/>
      </w:pPr>
      <w:r>
        <w:t xml:space="preserve">The build-versus-contribute case for</w:t>
      </w:r>
      <w:r>
        <w:t xml:space="preserve"> </w:t>
      </w:r>
      <w:r>
        <w:rPr>
          <w:rStyle w:val="VerbatimChar"/>
        </w:rPr>
        <w:t xml:space="preserve">StatsPAI</w:t>
      </w:r>
      <w:r>
        <w:t xml:space="preserve"> </w:t>
      </w:r>
      <w:r>
        <w:t xml:space="preserve">is therefore about</w:t>
      </w:r>
      <w:r>
        <w:t xml:space="preserve"> </w:t>
      </w:r>
      <w:r>
        <w:t xml:space="preserve">scope and interface rather than a single estimator. Contributing one</w:t>
      </w:r>
      <w:r>
        <w:t xml:space="preserve"> </w:t>
      </w:r>
      <w:r>
        <w:t xml:space="preserve">more estimator to each existing project would still leave users with</w:t>
      </w:r>
      <w:r>
        <w:t xml:space="preserve"> </w:t>
      </w:r>
      <w:r>
        <w:t xml:space="preserve">many incompatible result classes, separate diagnostic conventions, and</w:t>
      </w:r>
      <w:r>
        <w:t xml:space="preserve"> </w:t>
      </w:r>
      <w:r>
        <w:t xml:space="preserve">no unified agent-facing schema.</w:t>
      </w:r>
      <w:r>
        <w:t xml:space="preserve"> </w:t>
      </w:r>
      <w:r>
        <w:rPr>
          <w:rStyle w:val="VerbatimChar"/>
        </w:rPr>
        <w:t xml:space="preserve">StatsPAI</w:t>
      </w:r>
      <w:r>
        <w:t xml:space="preserve"> </w:t>
      </w:r>
      <w:r>
        <w:t xml:space="preserve">contributes an integration</w:t>
      </w:r>
      <w:r>
        <w:t xml:space="preserve"> </w:t>
      </w:r>
      <w:r>
        <w:t xml:space="preserve">layer with substantive statistical content: broad method coverage,</w:t>
      </w:r>
      <w:r>
        <w:t xml:space="preserve"> </w:t>
      </w:r>
      <w:r>
        <w:t xml:space="preserve">shared reporting, explicit estimator citations, stable/experimental API</w:t>
      </w:r>
      <w:r>
        <w:t xml:space="preserve"> </w:t>
      </w:r>
      <w:r>
        <w:t xml:space="preserve">metadata, cross-language parity checks, and an LLM-oriented registry</w:t>
      </w:r>
      <w:r>
        <w:t xml:space="preserve"> </w:t>
      </w:r>
      <w:r>
        <w:t xml:space="preserve">that can expose statistical tools safely to automated workflows.</w:t>
      </w:r>
    </w:p>
    <w:bookmarkEnd w:id="14"/>
    <w:bookmarkStart w:id="15" w:name="software-design"/>
    <w:p>
      <w:pPr>
        <w:pStyle w:val="Heading1"/>
      </w:pPr>
      <w:r>
        <w:t xml:space="preserve">Software Design</w:t>
      </w:r>
    </w:p>
    <w:p>
      <w:pPr>
        <w:pStyle w:val="FirstParagraph"/>
      </w:pPr>
      <w:r>
        <w:rPr>
          <w:rStyle w:val="VerbatimChar"/>
        </w:rPr>
        <w:t xml:space="preserve">StatsPAI</w:t>
      </w:r>
      <w:r>
        <w:t xml:space="preserve"> </w:t>
      </w:r>
      <w:r>
        <w:t xml:space="preserve">is organized around method families and a registry layer.</w:t>
      </w:r>
      <w:r>
        <w:t xml:space="preserve"> </w:t>
      </w:r>
      <w:r>
        <w:t xml:space="preserve">Researchers can call focused functions, such as an IV or</w:t>
      </w:r>
      <w:r>
        <w:t xml:space="preserve"> </w:t>
      </w:r>
      <w:r>
        <w:t xml:space="preserve">regression-discontinuity estimator, or use higher-level dispatchers that select</w:t>
      </w:r>
      <w:r>
        <w:t xml:space="preserve"> </w:t>
      </w:r>
      <w:r>
        <w:t xml:space="preserve">among variants within a design family. The registry records function</w:t>
      </w:r>
      <w:r>
        <w:t xml:space="preserve"> </w:t>
      </w:r>
      <w:r>
        <w:t xml:space="preserve">names, parameters, examples, stability tiers, limitations, citations,</w:t>
      </w:r>
      <w:r>
        <w:t xml:space="preserve"> </w:t>
      </w:r>
      <w:r>
        <w:t xml:space="preserve">and schema information. This makes the package usable both from a</w:t>
      </w:r>
      <w:r>
        <w:t xml:space="preserve"> </w:t>
      </w:r>
      <w:r>
        <w:t xml:space="preserve">notebook and from external systems such as a Model Context Protocol</w:t>
      </w:r>
      <w:r>
        <w:t xml:space="preserve"> </w:t>
      </w:r>
      <w:r>
        <w:t xml:space="preserve">server.</w:t>
      </w:r>
    </w:p>
    <w:p>
      <w:pPr>
        <w:pStyle w:val="BodyText"/>
      </w:pPr>
      <w:r>
        <w:t xml:space="preserve">The central design choice is a shared result interface. Estimators</w:t>
      </w:r>
      <w:r>
        <w:t xml:space="preserve"> </w:t>
      </w:r>
      <w:r>
        <w:t xml:space="preserve">return structured objects that store coefficients, uncertainty</w:t>
      </w:r>
      <w:r>
        <w:t xml:space="preserve"> </w:t>
      </w:r>
      <w:r>
        <w:t xml:space="preserve">estimates, diagnostics, fitted values, plots, and exporter hooks in</w:t>
      </w:r>
      <w:r>
        <w:t xml:space="preserve"> </w:t>
      </w:r>
      <w:r>
        <w:t xml:space="preserve">predictable locations. This reduces the switching cost between classical</w:t>
      </w:r>
      <w:r>
        <w:t xml:space="preserve"> </w:t>
      </w:r>
      <w:r>
        <w:t xml:space="preserve">econometric estimators and modern machine-learning estimators, and it</w:t>
      </w:r>
      <w:r>
        <w:t xml:space="preserve"> </w:t>
      </w:r>
      <w:r>
        <w:t xml:space="preserve">also makes validation easier because tests can compare common fields</w:t>
      </w:r>
      <w:r>
        <w:t xml:space="preserve"> </w:t>
      </w:r>
      <w:r>
        <w:t xml:space="preserve">across implementations.</w:t>
      </w:r>
    </w:p>
    <w:p>
      <w:pPr>
        <w:pStyle w:val="BodyText"/>
      </w:pPr>
      <w:r>
        <w:t xml:space="preserve">The package is implemented mainly in Python on top of NumPy, SciPy,</w:t>
      </w:r>
      <w:r>
        <w:t xml:space="preserve"> </w:t>
      </w:r>
      <w:r>
        <w:t xml:space="preserve">Pandas, statsmodels, scikit-learn, and linearmodels. This keeps the</w:t>
      </w:r>
      <w:r>
        <w:t xml:space="preserve"> </w:t>
      </w:r>
      <w:r>
        <w:t xml:space="preserve">installation path familiar for Python users and supports Python 3.9 and</w:t>
      </w:r>
      <w:r>
        <w:t xml:space="preserve"> </w:t>
      </w:r>
      <w:r>
        <w:t xml:space="preserve">newer. Optional accelerator backends are used only where they materially</w:t>
      </w:r>
      <w:r>
        <w:t xml:space="preserve"> </w:t>
      </w:r>
      <w:r>
        <w:t xml:space="preserve">change the computation: PyTorch for neural causal estimators, JAX for</w:t>
      </w:r>
      <w:r>
        <w:t xml:space="preserve"> </w:t>
      </w:r>
      <w:r>
        <w:t xml:space="preserve">selected bootstrap and linear algebra workloads, and a Rust/PyO3 kernel</w:t>
      </w:r>
      <w:r>
        <w:t xml:space="preserve"> </w:t>
      </w:r>
      <w:r>
        <w:t xml:space="preserve">for high-dimensional fixed-effect and cluster-variance routines. This</w:t>
      </w:r>
      <w:r>
        <w:t xml:space="preserve"> </w:t>
      </w:r>
      <w:r>
        <w:t xml:space="preserve">keeps the default package inspectable while allowing heavy workloads to</w:t>
      </w:r>
      <w:r>
        <w:t xml:space="preserve"> </w:t>
      </w:r>
      <w:r>
        <w:t xml:space="preserve">use specialized backends when available. The package is distributed via</w:t>
      </w:r>
      <w:r>
        <w:t xml:space="preserve"> </w:t>
      </w:r>
      <w:r>
        <w:t xml:space="preserve">PyPI under the MIT license.</w:t>
      </w:r>
    </w:p>
    <w:bookmarkEnd w:id="15"/>
    <w:bookmarkStart w:id="16" w:name="research-impact-statement"/>
    <w:p>
      <w:pPr>
        <w:pStyle w:val="Heading1"/>
      </w:pPr>
      <w:r>
        <w:t xml:space="preserve">Research Impact Statement</w:t>
      </w:r>
    </w:p>
    <w:p>
      <w:pPr>
        <w:pStyle w:val="FirstParagraph"/>
      </w:pPr>
      <w:r>
        <w:rPr>
          <w:rStyle w:val="VerbatimChar"/>
        </w:rPr>
        <w:t xml:space="preserve">StatsPAI</w:t>
      </w:r>
      <w:r>
        <w:t xml:space="preserve"> </w:t>
      </w:r>
      <w:r>
        <w:t xml:space="preserve">has a concrete validation and community-readiness dossier.</w:t>
      </w:r>
      <w:r>
        <w:t xml:space="preserve"> </w:t>
      </w:r>
      <w:r>
        <w:t xml:space="preserve">The repository includes Python tests, 36 R-parity modules,</w:t>
      </w:r>
      <w:r>
        <w:t xml:space="preserve"> </w:t>
      </w:r>
      <w:r>
        <w:t xml:space="preserve">21 Stata-parity modules, original-paper replay fixtures, and Monte Carlo</w:t>
      </w:r>
      <w:r>
        <w:t xml:space="preserve"> </w:t>
      </w:r>
      <w:r>
        <w:t xml:space="preserve">coverage checks. Published-reference anchors include Card-style</w:t>
      </w:r>
      <w:r>
        <w:t xml:space="preserve"> </w:t>
      </w:r>
      <w:r>
        <w:t xml:space="preserve">returns-to-schooling IV estimates, LaLonde/Dehejia-Wahba job-training benchmarks,</w:t>
      </w:r>
      <w:r>
        <w:t xml:space="preserve"> </w:t>
      </w:r>
      <w:r>
        <w:t xml:space="preserve">Lee-style regression discontinuity estimates, Callaway-Sant’Anna</w:t>
      </w:r>
      <w:r>
        <w:t xml:space="preserve"> </w:t>
      </w:r>
      <w:r>
        <w:t xml:space="preserve">difference-in-differences examples, and synthetic-control benchmarks.</w:t>
      </w:r>
      <w:r>
        <w:t xml:space="preserve"> </w:t>
      </w:r>
      <w:r>
        <w:t xml:space="preserve">The validation suite also includes a 1000-replication coverage run for</w:t>
      </w:r>
      <w:r>
        <w:t xml:space="preserve"> </w:t>
      </w:r>
      <w:r>
        <w:t xml:space="preserve">representative OLS, difference-in-differences, and strong-instrument IV</w:t>
      </w:r>
      <w:r>
        <w:t xml:space="preserve"> </w:t>
      </w:r>
      <w:r>
        <w:t xml:space="preserve">designs, with empirical coverage close to the nominal 95 percent level.</w:t>
      </w:r>
    </w:p>
    <w:p>
      <w:pPr>
        <w:pStyle w:val="BodyText"/>
      </w:pPr>
      <w:r>
        <w:t xml:space="preserve">The near-term research impact is a more reproducible empirical workflow</w:t>
      </w:r>
      <w:r>
        <w:t xml:space="preserve"> </w:t>
      </w:r>
      <w:r>
        <w:t xml:space="preserve">for applied policy evaluation. Because methods share one interface,</w:t>
      </w:r>
      <w:r>
        <w:t xml:space="preserve"> </w:t>
      </w:r>
      <w:r>
        <w:t xml:space="preserve">researchers can compare estimators on the same data, export tables with</w:t>
      </w:r>
      <w:r>
        <w:t xml:space="preserve"> </w:t>
      </w:r>
      <w:r>
        <w:t xml:space="preserve">the same metadata, and record the citations and assumptions attached to</w:t>
      </w:r>
      <w:r>
        <w:t xml:space="preserve"> </w:t>
      </w:r>
      <w:r>
        <w:t xml:space="preserve">each analysis. Early use in Stanford REAP research workflows has shown</w:t>
      </w:r>
      <w:r>
        <w:t xml:space="preserve"> </w:t>
      </w:r>
      <w:r>
        <w:t xml:space="preserve">the value of the package for rapid policy-evaluation prototyping, while</w:t>
      </w:r>
      <w:r>
        <w:t xml:space="preserve"> </w:t>
      </w:r>
      <w:r>
        <w:t xml:space="preserve">the agent-native registry supports a second use case: AI-assisted</w:t>
      </w:r>
      <w:r>
        <w:t xml:space="preserve"> </w:t>
      </w:r>
      <w:r>
        <w:t xml:space="preserve">replication and robustness analysis in which statistical tools are</w:t>
      </w:r>
      <w:r>
        <w:t xml:space="preserve"> </w:t>
      </w:r>
      <w:r>
        <w:t xml:space="preserve">discovered and invoked through explicit schemas rather than informal</w:t>
      </w:r>
      <w:r>
        <w:t xml:space="preserve"> </w:t>
      </w:r>
      <w:r>
        <w:t xml:space="preserve">prompts.</w:t>
      </w:r>
    </w:p>
    <w:bookmarkEnd w:id="16"/>
    <w:bookmarkStart w:id="17" w:name="ai-usage-disclosure"/>
    <w:p>
      <w:pPr>
        <w:pStyle w:val="Heading1"/>
      </w:pPr>
      <w:r>
        <w:t xml:space="preserve">AI Usage Disclosure</w:t>
      </w:r>
    </w:p>
    <w:p>
      <w:pPr>
        <w:pStyle w:val="FirstParagraph"/>
      </w:pPr>
      <w:r>
        <w:t xml:space="preserve">Generative AI tools, including Claude and OpenAI/Codex, were used to</w:t>
      </w:r>
      <w:r>
        <w:t xml:space="preserve"> </w:t>
      </w:r>
      <w:r>
        <w:t xml:space="preserve">draft portions of the documentation, assist with code generation, and</w:t>
      </w:r>
      <w:r>
        <w:t xml:space="preserve"> </w:t>
      </w:r>
      <w:r>
        <w:t xml:space="preserve">revise this manuscript. The corresponding author reviewed AI-generated</w:t>
      </w:r>
      <w:r>
        <w:t xml:space="preserve"> </w:t>
      </w:r>
      <w:r>
        <w:t xml:space="preserve">text, checked citations and software claims against repository evidence,</w:t>
      </w:r>
      <w:r>
        <w:t xml:space="preserve"> </w:t>
      </w:r>
      <w:r>
        <w:t xml:space="preserve">and retained responsibility for the correctness of the package and this</w:t>
      </w:r>
      <w:r>
        <w:t xml:space="preserve"> </w:t>
      </w:r>
      <w:r>
        <w:t xml:space="preserve">paper.</w:t>
      </w:r>
    </w:p>
    <w:bookmarkEnd w:id="17"/>
    <w:bookmarkStart w:id="18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The authors thank the Stanford REAP research community and the</w:t>
      </w:r>
      <w:r>
        <w:t xml:space="preserve"> </w:t>
      </w:r>
      <w:r>
        <w:t xml:space="preserve">CoPaper.AI team for feedback on early workflows. The authors are also</w:t>
      </w:r>
      <w:r>
        <w:t xml:space="preserve"> </w:t>
      </w:r>
      <w:r>
        <w:t xml:space="preserve">grateful to the developers of NumPy, SciPy, Pandas, statsmodels,</w:t>
      </w:r>
      <w:r>
        <w:t xml:space="preserve"> </w:t>
      </w:r>
      <w:r>
        <w:t xml:space="preserve">scikit-learn, linearmodels, PyTorch, JAX, and the broader open-source</w:t>
      </w:r>
      <w:r>
        <w:t xml:space="preserve"> </w:t>
      </w:r>
      <w:r>
        <w:t xml:space="preserve">scientific Python ecosystem that</w:t>
      </w:r>
      <w:r>
        <w:t xml:space="preserve"> </w:t>
      </w:r>
      <w:r>
        <w:rPr>
          <w:rStyle w:val="VerbatimChar"/>
        </w:rPr>
        <w:t xml:space="preserve">StatsPAI</w:t>
      </w:r>
      <w:r>
        <w:t xml:space="preserve"> </w:t>
      </w:r>
      <w:r>
        <w:t xml:space="preserve">builds upon.</w:t>
      </w:r>
    </w:p>
    <w:bookmarkEnd w:id="18"/>
    <w:bookmarkStart w:id="42" w:name="references"/>
    <w:p>
      <w:pPr>
        <w:pStyle w:val="Heading1"/>
      </w:pPr>
      <w:r>
        <w:t xml:space="preserve">References</w:t>
      </w:r>
    </w:p>
    <w:bookmarkStart w:id="41" w:name="refs"/>
    <w:bookmarkStart w:id="20" w:name="ref-abadie2010synthetic"/>
    <w:p>
      <w:pPr>
        <w:pStyle w:val="Bibliography"/>
      </w:pPr>
      <w:r>
        <w:t xml:space="preserve">Abadie, Alberto, Alexis Diamond, and Jens Hainmueller. 2010.</w:t>
      </w:r>
      <w:r>
        <w:t xml:space="preserve"> </w:t>
      </w:r>
      <w:r>
        <w:t xml:space="preserve">“Synthetic Control Methods for Comparative Case Studies: Estimating the Effect of</w:t>
      </w:r>
      <w:r>
        <w:t xml:space="preserve"> </w:t>
      </w:r>
      <w:r>
        <w:t xml:space="preserve">California</w:t>
      </w:r>
      <w:r>
        <w:t xml:space="preserve">’s Tobacco Control Program.”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105 (490): 493–505.</w:t>
      </w:r>
      <w:r>
        <w:t xml:space="preserve"> </w:t>
      </w:r>
      <w:hyperlink r:id="rId19">
        <w:r>
          <w:rPr>
            <w:rStyle w:val="Hyperlink"/>
          </w:rPr>
          <w:t xml:space="preserve">https://doi.org/10.1198/jasa.2009.ap08746</w:t>
        </w:r>
      </w:hyperlink>
      <w:r>
        <w:t xml:space="preserve">.</w:t>
      </w:r>
    </w:p>
    <w:bookmarkEnd w:id="20"/>
    <w:bookmarkStart w:id="22" w:name="ref-bach2022doubleml"/>
    <w:p>
      <w:pPr>
        <w:pStyle w:val="Bibliography"/>
      </w:pPr>
      <w:r>
        <w:t xml:space="preserve">Bach, Philipp, Victor Chernozhukov, Malte S. Kurz, and Martin Spindler. 2022.</w:t>
      </w:r>
      <w:r>
        <w:t xml:space="preserve"> </w:t>
      </w:r>
      <w:r>
        <w:t xml:space="preserve">“</w:t>
      </w:r>
      <w:r>
        <w:t xml:space="preserve">DoubleML</w:t>
      </w:r>
      <w:r>
        <w:t xml:space="preserve"> </w:t>
      </w:r>
      <w:r>
        <w:t xml:space="preserve">– an Object-Oriented Implementation of Double Machine Learning in</w:t>
      </w:r>
      <w:r>
        <w:t xml:space="preserve"> </w:t>
      </w:r>
      <w:r>
        <w:t xml:space="preserve">Python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23 (53): 1–6.</w:t>
      </w:r>
      <w:r>
        <w:t xml:space="preserve"> </w:t>
      </w:r>
      <w:hyperlink r:id="rId21">
        <w:r>
          <w:rPr>
            <w:rStyle w:val="Hyperlink"/>
          </w:rPr>
          <w:t xml:space="preserve">https://jmlr.org/papers/v23/21-0862.html</w:t>
        </w:r>
      </w:hyperlink>
      <w:r>
        <w:t xml:space="preserve">.</w:t>
      </w:r>
    </w:p>
    <w:bookmarkEnd w:id="22"/>
    <w:bookmarkStart w:id="24" w:name="ref-bates2015lme4"/>
    <w:p>
      <w:pPr>
        <w:pStyle w:val="Bibliography"/>
      </w:pPr>
      <w:r>
        <w:t xml:space="preserve">Bates, Douglas, Martin Mächler, Benjamin Bolker, and Steve Walker. 2015.</w:t>
      </w:r>
      <w:r>
        <w:t xml:space="preserve"> </w:t>
      </w:r>
      <w:r>
        <w:t xml:space="preserve">“Fitting Linear Mixed-Effects Models Using</w:t>
      </w:r>
      <w:r>
        <w:t xml:space="preserve"> </w:t>
      </w:r>
      <w:r>
        <w:t xml:space="preserve">lme4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67 (1): 1–48.</w:t>
      </w:r>
      <w:r>
        <w:t xml:space="preserve"> </w:t>
      </w:r>
      <w:hyperlink r:id="rId23">
        <w:r>
          <w:rPr>
            <w:rStyle w:val="Hyperlink"/>
          </w:rPr>
          <w:t xml:space="preserve">https://doi.org/10.18637/jss.v067.i01</w:t>
        </w:r>
      </w:hyperlink>
      <w:r>
        <w:t xml:space="preserve">.</w:t>
      </w:r>
    </w:p>
    <w:bookmarkEnd w:id="24"/>
    <w:bookmarkStart w:id="26" w:name="ref-econml"/>
    <w:p>
      <w:pPr>
        <w:pStyle w:val="Bibliography"/>
      </w:pPr>
      <w:r>
        <w:t xml:space="preserve">Battocchi, Keith, Eleanor Dillon, Maggie Hei, Greg Lewis, Paul Oka, Miruna Oprescu, and Vasilis Syrgkanis. 2019.</w:t>
      </w:r>
      <w:r>
        <w:t xml:space="preserve"> </w:t>
      </w:r>
      <w:r>
        <w:t xml:space="preserve">“</w:t>
      </w:r>
      <w:r>
        <w:t xml:space="preserve">EconML</w:t>
      </w:r>
      <w:r>
        <w:t xml:space="preserve">: A</w:t>
      </w:r>
      <w:r>
        <w:t xml:space="preserve"> </w:t>
      </w:r>
      <w:r>
        <w:t xml:space="preserve">Python</w:t>
      </w:r>
      <w:r>
        <w:t xml:space="preserve"> </w:t>
      </w:r>
      <w:r>
        <w:t xml:space="preserve">Package for</w:t>
      </w:r>
      <w:r>
        <w:t xml:space="preserve"> </w:t>
      </w:r>
      <w:r>
        <w:t xml:space="preserve">ML</w:t>
      </w:r>
      <w:r>
        <w:t xml:space="preserve">-Based Heterogeneous Treatment Effects Estimation.”</w:t>
      </w:r>
      <w:r>
        <w:t xml:space="preserve"> </w:t>
      </w:r>
      <w:hyperlink r:id="rId25">
        <w:r>
          <w:rPr>
            <w:rStyle w:val="Hyperlink"/>
          </w:rPr>
          <w:t xml:space="preserve">https://github.com/py-why/EconML</w:t>
        </w:r>
      </w:hyperlink>
      <w:r>
        <w:t xml:space="preserve">.</w:t>
      </w:r>
    </w:p>
    <w:bookmarkEnd w:id="26"/>
    <w:bookmarkStart w:id="28" w:name="ref-callaway2021difference"/>
    <w:p>
      <w:pPr>
        <w:pStyle w:val="Bibliography"/>
      </w:pPr>
      <w:r>
        <w:t xml:space="preserve">Callaway, Brantly, and Pedro H. C. Sant’Anna. 2021.</w:t>
      </w:r>
      <w:r>
        <w:t xml:space="preserve"> </w:t>
      </w:r>
      <w:r>
        <w:t xml:space="preserve">“Difference-in-Differences with Multiple Time Periods.”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 </w:t>
      </w:r>
      <w:r>
        <w:t xml:space="preserve">225 (2): 200–230.</w:t>
      </w:r>
      <w:r>
        <w:t xml:space="preserve"> </w:t>
      </w:r>
      <w:hyperlink r:id="rId27">
        <w:r>
          <w:rPr>
            <w:rStyle w:val="Hyperlink"/>
          </w:rPr>
          <w:t xml:space="preserve">https://doi.org/10.1016/j.jeconom.2020.12.001</w:t>
        </w:r>
      </w:hyperlink>
      <w:r>
        <w:t xml:space="preserve">.</w:t>
      </w:r>
    </w:p>
    <w:bookmarkEnd w:id="28"/>
    <w:bookmarkStart w:id="30" w:name="ref-calonico2014robust"/>
    <w:p>
      <w:pPr>
        <w:pStyle w:val="Bibliography"/>
      </w:pPr>
      <w:r>
        <w:t xml:space="preserve">Calonico, Sebastian, Matias D. Cattaneo, and Rocı́o Titiunik. 2014.</w:t>
      </w:r>
      <w:r>
        <w:t xml:space="preserve"> </w:t>
      </w:r>
      <w:r>
        <w:t xml:space="preserve">“Robust Nonparametric Confidence Intervals for Regression-Discontinuity Designs.”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82 (6): 2295–2326.</w:t>
      </w:r>
      <w:r>
        <w:t xml:space="preserve"> </w:t>
      </w:r>
      <w:hyperlink r:id="rId29">
        <w:r>
          <w:rPr>
            <w:rStyle w:val="Hyperlink"/>
          </w:rPr>
          <w:t xml:space="preserve">https://doi.org/10.3982/ECTA11757</w:t>
        </w:r>
      </w:hyperlink>
      <w:r>
        <w:t xml:space="preserve">.</w:t>
      </w:r>
    </w:p>
    <w:bookmarkEnd w:id="30"/>
    <w:bookmarkStart w:id="32" w:name="ref-chen2020causalml"/>
    <w:p>
      <w:pPr>
        <w:pStyle w:val="Bibliography"/>
      </w:pPr>
      <w:r>
        <w:t xml:space="preserve">Chen, Huigang, Totte Harinen, Jeong-Yoon Lee, Mike Yung, and Zhenyu Zhao. 2020.</w:t>
      </w:r>
      <w:r>
        <w:t xml:space="preserve"> </w:t>
      </w:r>
      <w:r>
        <w:t xml:space="preserve">“</w:t>
      </w:r>
      <w:r>
        <w:t xml:space="preserve">CausalML</w:t>
      </w:r>
      <w:r>
        <w:t xml:space="preserve">:</w:t>
      </w:r>
      <w:r>
        <w:t xml:space="preserve"> </w:t>
      </w:r>
      <w:r>
        <w:t xml:space="preserve">Python</w:t>
      </w:r>
      <w:r>
        <w:t xml:space="preserve"> </w:t>
      </w:r>
      <w:r>
        <w:t xml:space="preserve">Package for Causal Machine Learning.”</w:t>
      </w:r>
      <w:r>
        <w:t xml:space="preserve"> </w:t>
      </w:r>
      <w:hyperlink r:id="rId31">
        <w:r>
          <w:rPr>
            <w:rStyle w:val="Hyperlink"/>
          </w:rPr>
          <w:t xml:space="preserve">https://doi.org/10.48550/arXiv.2002.11631</w:t>
        </w:r>
      </w:hyperlink>
      <w:r>
        <w:t xml:space="preserve">.</w:t>
      </w:r>
    </w:p>
    <w:bookmarkEnd w:id="32"/>
    <w:bookmarkStart w:id="34" w:name="ref-chernozhukov2018double"/>
    <w:p>
      <w:pPr>
        <w:pStyle w:val="Bibliography"/>
      </w:pPr>
      <w:r>
        <w:t xml:space="preserve">Chernozhukov, Victor, Denis Chetverikov, Mert Demirer, Esther Duflo, Christian Hansen, Whitney Newey, and James Robins. 2018.</w:t>
      </w:r>
      <w:r>
        <w:t xml:space="preserve"> </w:t>
      </w:r>
      <w:r>
        <w:t xml:space="preserve">“Double/Debiased Machine Learning for Treatment and Structural Parameters.”</w:t>
      </w:r>
      <w:r>
        <w:t xml:space="preserve"> </w:t>
      </w:r>
      <w:r>
        <w:rPr>
          <w:i/>
          <w:iCs/>
        </w:rPr>
        <w:t xml:space="preserve">The Econometrics Journal</w:t>
      </w:r>
      <w:r>
        <w:t xml:space="preserve"> </w:t>
      </w:r>
      <w:r>
        <w:t xml:space="preserve">21 (1): C1–68.</w:t>
      </w:r>
      <w:r>
        <w:t xml:space="preserve"> </w:t>
      </w:r>
      <w:hyperlink r:id="rId33">
        <w:r>
          <w:rPr>
            <w:rStyle w:val="Hyperlink"/>
          </w:rPr>
          <w:t xml:space="preserve">https://doi.org/10.1111/ectj.12097</w:t>
        </w:r>
      </w:hyperlink>
      <w:r>
        <w:t xml:space="preserve">.</w:t>
      </w:r>
    </w:p>
    <w:bookmarkEnd w:id="34"/>
    <w:bookmarkStart w:id="36" w:name="ref-kunzel2019metalearners"/>
    <w:p>
      <w:pPr>
        <w:pStyle w:val="Bibliography"/>
      </w:pPr>
      <w:r>
        <w:t xml:space="preserve">Künzel, Sören R., Jasjeet S. Sekhon, Peter J. Bickel, and Bin Yu. 2019.</w:t>
      </w:r>
      <w:r>
        <w:t xml:space="preserve"> </w:t>
      </w:r>
      <w:r>
        <w:t xml:space="preserve">“Metalearners for Estimating Heterogeneous Treatment Effects Using Machine Learning.”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116 (10): 4156–65.</w:t>
      </w:r>
      <w:r>
        <w:t xml:space="preserve"> </w:t>
      </w:r>
      <w:hyperlink r:id="rId35">
        <w:r>
          <w:rPr>
            <w:rStyle w:val="Hyperlink"/>
          </w:rPr>
          <w:t xml:space="preserve">https://doi.org/10.1073/pnas.1804597116</w:t>
        </w:r>
      </w:hyperlink>
      <w:r>
        <w:t xml:space="preserve">.</w:t>
      </w:r>
    </w:p>
    <w:bookmarkEnd w:id="36"/>
    <w:bookmarkStart w:id="38" w:name="ref-sharma2020dowhy"/>
    <w:p>
      <w:pPr>
        <w:pStyle w:val="Bibliography"/>
      </w:pPr>
      <w:r>
        <w:t xml:space="preserve">Sharma, Amit, and Emre Kiciman. 2020.</w:t>
      </w:r>
      <w:r>
        <w:t xml:space="preserve"> </w:t>
      </w:r>
      <w:r>
        <w:t xml:space="preserve">“</w:t>
      </w:r>
      <w:r>
        <w:t xml:space="preserve">DoWhy</w:t>
      </w:r>
      <w:r>
        <w:t xml:space="preserve">: An End-to-End Library for Causal Inference.”</w:t>
      </w:r>
      <w:r>
        <w:t xml:space="preserve"> </w:t>
      </w:r>
      <w:hyperlink r:id="rId37">
        <w:r>
          <w:rPr>
            <w:rStyle w:val="Hyperlink"/>
          </w:rPr>
          <w:t xml:space="preserve">https://doi.org/10.48550/arXiv.2011.04216</w:t>
        </w:r>
      </w:hyperlink>
      <w:r>
        <w:t xml:space="preserve">.</w:t>
      </w:r>
    </w:p>
    <w:bookmarkEnd w:id="38"/>
    <w:bookmarkStart w:id="40" w:name="ref-wager2018estimation"/>
    <w:p>
      <w:pPr>
        <w:pStyle w:val="Bibliography"/>
      </w:pPr>
      <w:r>
        <w:t xml:space="preserve">Wager, Stefan, and Susan Athey. 2018.</w:t>
      </w:r>
      <w:r>
        <w:t xml:space="preserve"> </w:t>
      </w:r>
      <w:r>
        <w:t xml:space="preserve">“Estimation and Inference of Heterogeneous Treatment Effects Using Random Forests.”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113 (523): 1228–42.</w:t>
      </w:r>
      <w:r>
        <w:t xml:space="preserve"> </w:t>
      </w:r>
      <w:hyperlink r:id="rId39">
        <w:r>
          <w:rPr>
            <w:rStyle w:val="Hyperlink"/>
          </w:rPr>
          <w:t xml:space="preserve">https://doi.org/10.1080/01621459.2017.1319839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doi.org/10.1016/j.jeconom.2020.12.001" TargetMode="External" /><Relationship Type="http://schemas.openxmlformats.org/officeDocument/2006/relationships/hyperlink" Id="rId35" Target="https://doi.org/10.1073/pnas.1804597116" TargetMode="External" /><Relationship Type="http://schemas.openxmlformats.org/officeDocument/2006/relationships/hyperlink" Id="rId39" Target="https://doi.org/10.1080/01621459.2017.1319839" TargetMode="External" /><Relationship Type="http://schemas.openxmlformats.org/officeDocument/2006/relationships/hyperlink" Id="rId33" Target="https://doi.org/10.1111/ectj.12097" TargetMode="External" /><Relationship Type="http://schemas.openxmlformats.org/officeDocument/2006/relationships/hyperlink" Id="rId19" Target="https://doi.org/10.1198/jasa.2009.ap08746" TargetMode="External" /><Relationship Type="http://schemas.openxmlformats.org/officeDocument/2006/relationships/hyperlink" Id="rId23" Target="https://doi.org/10.18637/jss.v067.i01" TargetMode="External" /><Relationship Type="http://schemas.openxmlformats.org/officeDocument/2006/relationships/hyperlink" Id="rId29" Target="https://doi.org/10.3982/ECTA11757" TargetMode="External" /><Relationship Type="http://schemas.openxmlformats.org/officeDocument/2006/relationships/hyperlink" Id="rId31" Target="https://doi.org/10.48550/arXiv.2002.11631" TargetMode="External" /><Relationship Type="http://schemas.openxmlformats.org/officeDocument/2006/relationships/hyperlink" Id="rId37" Target="https://doi.org/10.48550/arXiv.2011.04216" TargetMode="External" /><Relationship Type="http://schemas.openxmlformats.org/officeDocument/2006/relationships/hyperlink" Id="rId11" Target="https://github.com/brycewang-stanford/statspai" TargetMode="External" /><Relationship Type="http://schemas.openxmlformats.org/officeDocument/2006/relationships/hyperlink" Id="rId25" Target="https://github.com/py-why/EconML" TargetMode="External" /><Relationship Type="http://schemas.openxmlformats.org/officeDocument/2006/relationships/hyperlink" Id="rId21" Target="https://jmlr.org/papers/v23/21-0862.html" TargetMode="External" /><Relationship Type="http://schemas.openxmlformats.org/officeDocument/2006/relationships/hyperlink" Id="rId9" Target="mailto:brycew6m@stanford.edu" TargetMode="External" /><Relationship Type="http://schemas.openxmlformats.org/officeDocument/2006/relationships/hyperlink" Id="rId10" Target="mailto:rozelle@stanford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oi.org/10.1016/j.jeconom.2020.12.001" TargetMode="External" /><Relationship Type="http://schemas.openxmlformats.org/officeDocument/2006/relationships/hyperlink" Id="rId35" Target="https://doi.org/10.1073/pnas.1804597116" TargetMode="External" /><Relationship Type="http://schemas.openxmlformats.org/officeDocument/2006/relationships/hyperlink" Id="rId39" Target="https://doi.org/10.1080/01621459.2017.1319839" TargetMode="External" /><Relationship Type="http://schemas.openxmlformats.org/officeDocument/2006/relationships/hyperlink" Id="rId33" Target="https://doi.org/10.1111/ectj.12097" TargetMode="External" /><Relationship Type="http://schemas.openxmlformats.org/officeDocument/2006/relationships/hyperlink" Id="rId19" Target="https://doi.org/10.1198/jasa.2009.ap08746" TargetMode="External" /><Relationship Type="http://schemas.openxmlformats.org/officeDocument/2006/relationships/hyperlink" Id="rId23" Target="https://doi.org/10.18637/jss.v067.i01" TargetMode="External" /><Relationship Type="http://schemas.openxmlformats.org/officeDocument/2006/relationships/hyperlink" Id="rId29" Target="https://doi.org/10.3982/ECTA11757" TargetMode="External" /><Relationship Type="http://schemas.openxmlformats.org/officeDocument/2006/relationships/hyperlink" Id="rId31" Target="https://doi.org/10.48550/arXiv.2002.11631" TargetMode="External" /><Relationship Type="http://schemas.openxmlformats.org/officeDocument/2006/relationships/hyperlink" Id="rId37" Target="https://doi.org/10.48550/arXiv.2011.04216" TargetMode="External" /><Relationship Type="http://schemas.openxmlformats.org/officeDocument/2006/relationships/hyperlink" Id="rId11" Target="https://github.com/brycewang-stanford/statspai" TargetMode="External" /><Relationship Type="http://schemas.openxmlformats.org/officeDocument/2006/relationships/hyperlink" Id="rId25" Target="https://github.com/py-why/EconML" TargetMode="External" /><Relationship Type="http://schemas.openxmlformats.org/officeDocument/2006/relationships/hyperlink" Id="rId21" Target="https://jmlr.org/papers/v23/21-0862.html" TargetMode="External" /><Relationship Type="http://schemas.openxmlformats.org/officeDocument/2006/relationships/hyperlink" Id="rId9" Target="mailto:brycew6m@stanford.edu" TargetMode="External" /><Relationship Type="http://schemas.openxmlformats.org/officeDocument/2006/relationships/hyperlink" Id="rId10" Target="mailto:rozelle@stanford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StatsPAI: An Agent-Native Python Toolkit for Causal Inference and Applied Econometrics</dc:title>
  <dc:creator/>
  <cp:keywords/>
  <dcterms:created xsi:type="dcterms:W3CDTF">2026-05-10T03:04:25Z</dcterms:created>
  <dcterms:modified xsi:type="dcterms:W3CDTF">2026-05-10T03:04:25Z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paper.bib</vt:lpwstr>
  </property>
  <property fmtid="{D5CDD505-2E9C-101B-9397-08002B2CF9AE}" pid="3" name="date">
    <vt:lpwstr>9 May 2026</vt:lpwstr>
  </property>
</Properties>
</file>