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451482" w:rsidR="00451482" w:rsidP="00451482" w:rsidRDefault="00451482" w14:paraId="2696FE4C"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 xml:space="preserve">Dominic Delmolino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Project 2 – Final Presentation  </w:t>
      </w:r>
    </w:p>
    <w:p w:rsidRPr="00451482" w:rsidR="00451482" w:rsidP="00451482" w:rsidRDefault="00451482" w14:paraId="1EE8C190"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Sarah Kell</w:t>
      </w:r>
      <w:r w:rsidRPr="177ECB13" w:rsidR="003B7374">
        <w:rPr>
          <w:rFonts w:ascii="Calibri" w:hAnsi="Calibri" w:eastAsia="Calibri" w:cs="Calibri" w:asciiTheme="minorAscii" w:hAnsiTheme="minorAscii" w:eastAsiaTheme="minorAscii" w:cstheme="minorAscii"/>
        </w:rPr>
        <w:t>e</w:t>
      </w:r>
      <w:r w:rsidRPr="177ECB13">
        <w:rPr>
          <w:rFonts w:ascii="Calibri" w:hAnsi="Calibri" w:eastAsia="Calibri" w:cs="Calibri" w:asciiTheme="minorAscii" w:hAnsiTheme="minorAscii" w:eastAsiaTheme="minorAscii" w:cstheme="minorAscii"/>
        </w:rPr>
        <w:t xml:space="preserve">y </w:t>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rPr>
        <w:t xml:space="preserve">                                         INFO W18 – Python Bridge 2</w:t>
      </w:r>
    </w:p>
    <w:p w:rsidRPr="00451482" w:rsidR="00451482" w:rsidP="00451482" w:rsidRDefault="00451482" w14:paraId="436E9D95" w14:textId="77777777" w14:noSpellErr="1">
      <w:pPr>
        <w:rPr>
          <w:rFonts w:asciiTheme="minorHAnsi" w:hAnsiTheme="minorHAnsi"/>
        </w:rPr>
      </w:pPr>
      <w:r w:rsidRPr="177ECB13">
        <w:rPr>
          <w:rFonts w:ascii="Calibri" w:hAnsi="Calibri" w:eastAsia="Calibri" w:cs="Calibri" w:asciiTheme="minorAscii" w:hAnsiTheme="minorAscii" w:eastAsiaTheme="minorAscii" w:cstheme="minorAscii"/>
        </w:rPr>
        <w:t xml:space="preserve">Andrea Pope                                 </w:t>
      </w:r>
      <w:r w:rsidRPr="00451482">
        <w:rPr>
          <w:rFonts w:eastAsia="Calibri" w:cs="Calibri" w:asciiTheme="minorHAnsi" w:hAnsiTheme="minorHAnsi"/>
        </w:rPr>
        <w:tab/>
      </w:r>
    </w:p>
    <w:p w:rsidRPr="00F52836" w:rsidR="00F52836" w:rsidP="00F52836" w:rsidRDefault="00330A98" w14:paraId="67BE09DA" w14:textId="77777777">
      <w:pPr>
        <w:rPr>
          <w:rFonts w:asciiTheme="minorHAnsi" w:hAnsiTheme="minorHAnsi"/>
        </w:rPr>
      </w:pPr>
      <w:r w:rsidRPr="00451482">
        <w:rPr>
          <w:rFonts w:eastAsia="Calibri" w:cs="Calibri" w:asciiTheme="minorHAnsi" w:hAnsiTheme="minorHAnsi"/>
        </w:rPr>
        <w:t xml:space="preserve"> </w:t>
      </w:r>
      <w:bookmarkStart w:name="h.m7bp1ayxte5p" w:colFirst="0" w:colLast="0" w:id="0"/>
      <w:bookmarkEnd w:id="0"/>
    </w:p>
    <w:p w:rsidRPr="00451482" w:rsidR="00451482" w:rsidP="00F52836" w:rsidRDefault="00F52836" w14:paraId="6893778F" w14:textId="77777777" w14:noSpellErr="1">
      <w:pPr>
        <w:pStyle w:val="MainHeading"/>
        <w:spacing w:line="240" w:lineRule="auto"/>
      </w:pPr>
      <w:r w:rsidR="177ECB13">
        <w:rPr/>
        <w:t>Abstract:</w:t>
      </w:r>
    </w:p>
    <w:p w:rsidRPr="00451482" w:rsidR="00451482" w:rsidP="00451482" w:rsidRDefault="3A6F8CDE" w14:paraId="25C771C9"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&lt;&lt;summary of paper&gt;&gt;</w:t>
      </w:r>
    </w:p>
    <w:p w:rsidR="3A6F8CDE" w:rsidP="3A6F8CDE" w:rsidRDefault="3A6F8CDE" w14:paraId="68EBF451" w14:textId="028B8C8A" w14:noSpellErr="1">
      <w:r w:rsidRPr="177ECB13" w:rsidR="177ECB13">
        <w:rPr>
          <w:rFonts w:ascii="Calibri" w:hAnsi="Calibri" w:eastAsia="Calibri" w:cs="Calibri" w:asciiTheme="minorAscii" w:hAnsiTheme="minorAscii" w:eastAsiaTheme="minorAscii" w:cstheme="minorAscii"/>
        </w:rPr>
        <w:t>Editing online test....</w:t>
      </w:r>
    </w:p>
    <w:p w:rsidR="3A6F8CDE" w:rsidP="3A6F8CDE" w:rsidRDefault="3A6F8CDE" w14:paraId="426ED460" w14:textId="59F5B31A" w14:noSpellErr="1">
      <w:r w:rsidRPr="177ECB13" w:rsidR="177ECB13">
        <w:rPr>
          <w:rFonts w:ascii="Calibri" w:hAnsi="Calibri" w:eastAsia="Calibri" w:cs="Calibri" w:asciiTheme="minorAscii" w:hAnsiTheme="minorAscii" w:eastAsiaTheme="minorAscii" w:cstheme="minorAscii"/>
        </w:rPr>
        <w:t>Cool – I can see your edits!</w:t>
      </w:r>
    </w:p>
    <w:p w:rsidR="3A6F8CDE" w:rsidP="3A6F8CDE" w:rsidRDefault="3A6F8CDE" w14:paraId="368038B4" w14:textId="19205312"/>
    <w:p w:rsidRPr="00451482" w:rsidR="00F52836" w:rsidP="00F52836" w:rsidRDefault="00F52836" w14:paraId="1C74A205" w14:textId="77777777" w14:noSpellErr="1">
      <w:pPr>
        <w:pStyle w:val="MainHeading"/>
        <w:spacing w:line="240" w:lineRule="auto"/>
      </w:pPr>
      <w:r w:rsidR="177ECB13">
        <w:rPr/>
        <w:t>Introduction:</w:t>
      </w:r>
    </w:p>
    <w:p w:rsidR="00F52836" w:rsidP="00F52836" w:rsidRDefault="00F52836" w14:paraId="778496AE" w14:textId="77777777" w14:noSpellErr="1">
      <w:pPr>
        <w:pStyle w:val="Body"/>
        <w:rPr>
          <w:rStyle w:val="BodyChar"/>
          <w:highlight w:val="white"/>
        </w:rPr>
      </w:pPr>
      <w:r w:rsidRPr="177ECB13" w:rsidR="177ECB13">
        <w:rPr>
          <w:rStyle w:val="BodyChar"/>
          <w:highlight w:val="white"/>
        </w:rPr>
        <w:t>&lt;&lt;rationale behind project – introduce what we are trying to do</w:t>
      </w:r>
    </w:p>
    <w:p w:rsidR="00F52836" w:rsidP="00F52836" w:rsidRDefault="00F52836" w14:paraId="6317BAE5" w14:textId="77777777">
      <w:pPr>
        <w:pStyle w:val="Body"/>
        <w:rPr>
          <w:rStyle w:val="BodyChar"/>
        </w:rPr>
      </w:pPr>
    </w:p>
    <w:p w:rsidR="00F52836" w:rsidP="00F52836" w:rsidRDefault="00F52836" w14:paraId="279FB080" w14:textId="77777777">
      <w:pPr>
        <w:pStyle w:val="Body"/>
        <w:rPr>
          <w:rStyle w:val="BodyChar"/>
        </w:rPr>
      </w:pPr>
    </w:p>
    <w:p w:rsidRPr="00451482" w:rsidR="00F52836" w:rsidP="00F52836" w:rsidRDefault="00F52836" w14:paraId="206FC837" w14:textId="77777777" w14:noSpellErr="1">
      <w:pPr>
        <w:pStyle w:val="MainHeading"/>
        <w:spacing w:line="240" w:lineRule="auto"/>
      </w:pPr>
      <w:r w:rsidR="177ECB13">
        <w:rPr/>
        <w:t>Methodology:</w:t>
      </w:r>
    </w:p>
    <w:p w:rsidR="00127A50" w:rsidP="00F52836" w:rsidRDefault="00F52836" w14:paraId="34FFEF8E" w14:textId="77777777" w14:noSpellErr="1">
      <w:pPr>
        <w:pStyle w:val="Body"/>
        <w:rPr>
          <w:rStyle w:val="BodyChar"/>
        </w:rPr>
      </w:pPr>
      <w:r w:rsidRPr="177ECB13" w:rsidR="177ECB13">
        <w:rPr>
          <w:rStyle w:val="BodyChar"/>
        </w:rPr>
        <w:t xml:space="preserve">Data </w:t>
      </w:r>
      <w:r w:rsidRPr="177ECB13" w:rsidR="177ECB13">
        <w:rPr>
          <w:rStyle w:val="BodyChar"/>
        </w:rPr>
        <w:t xml:space="preserve">sets were downloaded from the </w:t>
      </w:r>
      <w:r w:rsidRPr="177ECB13" w:rsidR="177ECB13">
        <w:rPr>
          <w:rStyle w:val="BodyChar"/>
        </w:rPr>
        <w:t>World Health Organization (“WHO”)</w:t>
      </w:r>
      <w:r w:rsidRPr="177ECB13" w:rsidR="177ECB13">
        <w:rPr>
          <w:rStyle w:val="BodyChar"/>
        </w:rPr>
        <w:t xml:space="preserve"> website</w:t>
      </w:r>
      <w:r w:rsidRPr="177ECB13" w:rsidR="177ECB13">
        <w:rPr>
          <w:rStyle w:val="BodyChar"/>
        </w:rPr>
        <w:t xml:space="preserve">. </w:t>
      </w:r>
      <w:r w:rsidRPr="177ECB13" w:rsidR="177ECB13">
        <w:rPr>
          <w:rStyle w:val="BodyChar"/>
        </w:rPr>
        <w:t xml:space="preserve">The core set of data for our analysis was the Life Expectancy data set. We concentrated </w:t>
      </w:r>
      <w:r w:rsidRPr="177ECB13" w:rsidR="177ECB13">
        <w:rPr>
          <w:rStyle w:val="BodyChar"/>
        </w:rPr>
        <w:t>on three (</w:t>
      </w:r>
      <w:r w:rsidRPr="177ECB13" w:rsidR="177ECB13">
        <w:rPr>
          <w:rStyle w:val="BodyChar"/>
        </w:rPr>
        <w:t>3</w:t>
      </w:r>
      <w:r w:rsidRPr="177ECB13" w:rsidR="177ECB13">
        <w:rPr>
          <w:rStyle w:val="BodyChar"/>
        </w:rPr>
        <w:t>)</w:t>
      </w:r>
      <w:r w:rsidRPr="177ECB13" w:rsidR="177ECB13">
        <w:rPr>
          <w:rStyle w:val="BodyChar"/>
        </w:rPr>
        <w:t xml:space="preserve"> key statistics, specifically</w:t>
      </w:r>
      <w:r w:rsidRPr="177ECB13" w:rsidR="177ECB13">
        <w:rPr>
          <w:rStyle w:val="BodyChar"/>
        </w:rPr>
        <w:t>:</w:t>
      </w:r>
    </w:p>
    <w:p w:rsidR="00127A50" w:rsidP="00127A50" w:rsidRDefault="00127A50" w14:paraId="05099887" w14:textId="77777777" w14:noSpellErr="1">
      <w:pPr>
        <w:pStyle w:val="Body"/>
        <w:numPr>
          <w:ilvl w:val="0"/>
          <w:numId w:val="3"/>
        </w:numPr>
        <w:rPr>
          <w:rStyle w:val="BodyChar"/>
        </w:rPr>
      </w:pPr>
      <w:r w:rsidRPr="177ECB13" w:rsidR="177ECB13">
        <w:rPr>
          <w:rStyle w:val="BodyChar"/>
        </w:rPr>
        <w:t>Life Expectancy at Birth</w:t>
      </w:r>
    </w:p>
    <w:p w:rsidR="00127A50" w:rsidP="00127A50" w:rsidRDefault="00127A50" w14:paraId="7B5399D9" w14:textId="77777777" w14:noSpellErr="1">
      <w:pPr>
        <w:pStyle w:val="Body"/>
        <w:numPr>
          <w:ilvl w:val="0"/>
          <w:numId w:val="3"/>
        </w:numPr>
        <w:rPr>
          <w:rStyle w:val="BodyChar"/>
        </w:rPr>
      </w:pPr>
      <w:r w:rsidRPr="177ECB13" w:rsidR="177ECB13">
        <w:rPr>
          <w:rStyle w:val="BodyChar"/>
        </w:rPr>
        <w:t>Life Expectancy at Age 60</w:t>
      </w:r>
    </w:p>
    <w:p w:rsidR="00127A50" w:rsidP="00127A50" w:rsidRDefault="00195D93" w14:paraId="7BCCB141" w14:textId="77777777" w14:noSpellErr="1">
      <w:pPr>
        <w:pStyle w:val="Body"/>
        <w:numPr>
          <w:ilvl w:val="0"/>
          <w:numId w:val="3"/>
        </w:numPr>
        <w:rPr>
          <w:rStyle w:val="BodyChar"/>
        </w:rPr>
      </w:pPr>
      <w:r w:rsidRPr="177ECB13" w:rsidR="177ECB13">
        <w:rPr>
          <w:rStyle w:val="BodyChar"/>
        </w:rPr>
        <w:t xml:space="preserve">Healthy Life Expectancy (HALE) at birth </w:t>
      </w:r>
    </w:p>
    <w:p w:rsidR="00127A50" w:rsidP="00127A50" w:rsidRDefault="00127A50" w14:paraId="618BB960" w14:textId="77777777">
      <w:pPr>
        <w:pStyle w:val="Body"/>
        <w:rPr>
          <w:rStyle w:val="BodyChar"/>
        </w:rPr>
      </w:pPr>
    </w:p>
    <w:p w:rsidR="00195D93" w:rsidP="00127A50" w:rsidRDefault="00127A50" w14:paraId="2E2CC876" w14:textId="665678CE" w14:noSpellErr="1">
      <w:pPr>
        <w:pStyle w:val="Body"/>
        <w:rPr>
          <w:rStyle w:val="BodyChar"/>
        </w:rPr>
      </w:pPr>
      <w:r w:rsidRPr="177ECB13" w:rsidR="177ECB13">
        <w:rPr>
          <w:rStyle w:val="BodyChar"/>
        </w:rPr>
        <w:t xml:space="preserve">The data was provided </w:t>
      </w:r>
      <w:r w:rsidRPr="177ECB13" w:rsidR="177ECB13">
        <w:rPr>
          <w:rStyle w:val="BodyChar"/>
        </w:rPr>
        <w:t xml:space="preserve">for the years </w:t>
      </w:r>
      <w:r w:rsidRPr="177ECB13" w:rsidR="177ECB13">
        <w:rPr>
          <w:rStyle w:val="BodyChar"/>
        </w:rPr>
        <w:t xml:space="preserve">1990, </w:t>
      </w:r>
      <w:r w:rsidRPr="177ECB13" w:rsidR="177ECB13">
        <w:rPr>
          <w:rStyle w:val="BodyChar"/>
        </w:rPr>
        <w:t xml:space="preserve">2000, 2012, and 2013 for 194 different countries.  The </w:t>
      </w:r>
      <w:r w:rsidRPr="177ECB13" w:rsidR="177ECB13">
        <w:rPr>
          <w:rStyle w:val="BodyChar"/>
        </w:rPr>
        <w:t>HALE</w:t>
      </w:r>
      <w:r w:rsidRPr="177ECB13" w:rsidR="177ECB13">
        <w:rPr>
          <w:rStyle w:val="BodyChar"/>
        </w:rPr>
        <w:t xml:space="preserve"> </w:t>
      </w:r>
      <w:proofErr w:type="spellStart"/>
      <w:r w:rsidRPr="177ECB13" w:rsidR="177ECB13">
        <w:rPr>
          <w:rStyle w:val="BodyChar"/>
        </w:rPr>
        <w:t>data set</w:t>
      </w:r>
      <w:proofErr w:type="spellEnd"/>
      <w:r w:rsidRPr="177ECB13" w:rsidR="177ECB13">
        <w:rPr>
          <w:rStyle w:val="BodyChar"/>
        </w:rPr>
        <w:t xml:space="preserve"> takes into account degraded health due to disease or injury.</w:t>
      </w:r>
    </w:p>
    <w:p w:rsidR="00195D93" w:rsidP="00F52836" w:rsidRDefault="00195D93" w14:paraId="2378B3BA" w14:textId="77777777">
      <w:pPr>
        <w:pStyle w:val="Body"/>
        <w:rPr>
          <w:rStyle w:val="BodyChar"/>
        </w:rPr>
      </w:pPr>
    </w:p>
    <w:p w:rsidR="00195D93" w:rsidP="00F52836" w:rsidRDefault="00195D93" w14:paraId="6444DA98" w14:noSpellErr="1" w14:textId="5E592F95">
      <w:pPr>
        <w:pStyle w:val="Body"/>
        <w:rPr>
          <w:rStyle w:val="BodyChar"/>
        </w:rPr>
      </w:pPr>
      <w:r w:rsidR="1B9B5D70">
        <w:rPr/>
        <w:t>Against the Life Expectancy data, we compared 4 different factors that could impact Life Expectancy, specifically environmental factors</w:t>
      </w:r>
      <w:r w:rsidR="1B9B5D70">
        <w:rPr/>
        <w:t xml:space="preserve"> (access to clean drinking water and sanitation capabilities)</w:t>
      </w:r>
      <w:r w:rsidR="1B9B5D70">
        <w:rPr/>
        <w:t>, HIV prevalence, how health services are provided (government vs private) and aid provided to each country. In each case, we have conducted investigative analysis of the individual data set, and then compared it to the Life Expectancy data set.</w:t>
      </w:r>
    </w:p>
    <w:p w:rsidR="00F52836" w:rsidP="1B9B5D70" w:rsidRDefault="00F52836" w14:paraId="68AF640B" w14:textId="62E3CE36">
      <w:pPr>
        <w:pStyle w:val="Body"/>
        <w:spacing w:line="240" w:lineRule="auto"/>
        <w:rPr>
          <w:rFonts w:eastAsia="Calibri" w:cs="Calibri" w:asciiTheme="minorHAnsi" w:hAnsiTheme="minorHAnsi"/>
          <w:color w:val="222222"/>
        </w:rPr>
      </w:pPr>
      <w:r w:rsidRPr="177ECB13" w:rsidR="177ECB13">
        <w:rPr>
          <w:rStyle w:val="BodyChar"/>
        </w:rPr>
        <w:t>For all of the data sets, initial data cleaning was completed to structure the data such that is allowed easier analysis, and to rid the data of any superfluous characters. Examples of this include separating a “</w:t>
      </w:r>
      <w:proofErr w:type="spellStart"/>
      <w:r w:rsidRPr="177ECB13" w:rsidR="177ECB13">
        <w:rPr>
          <w:rStyle w:val="BodyChar"/>
        </w:rPr>
        <w:t>Country;Date</w:t>
      </w:r>
      <w:proofErr w:type="spellEnd"/>
      <w:r w:rsidRPr="177ECB13" w:rsidR="177ECB13">
        <w:rPr>
          <w:rStyle w:val="BodyChar"/>
        </w:rPr>
        <w:t xml:space="preserve">” field into 2 separate fields, </w:t>
      </w:r>
      <w:r w:rsidRPr="177ECB13" w:rsidR="177ECB13">
        <w:rPr>
          <w:rStyle w:val="BodyChar"/>
        </w:rPr>
        <w:t xml:space="preserve">simplifying column names, </w:t>
      </w:r>
      <w:r w:rsidRPr="177ECB13" w:rsidR="177ECB13">
        <w:rPr>
          <w:rStyle w:val="BodyChar"/>
        </w:rPr>
        <w:t>managing null values, and dropping years of data without any corresponding</w:t>
      </w:r>
      <w:r w:rsidRPr="177ECB13" w:rsidR="177ECB13">
        <w:rPr>
          <w:rStyle w:val="BodyChar"/>
        </w:rPr>
        <w:t xml:space="preserve"> datasets.</w:t>
      </w:r>
    </w:p>
    <w:p w:rsidR="0073001B" w:rsidP="00F52836" w:rsidRDefault="003B7374" w14:paraId="34987E56" w14:textId="77777777" w14:noSpellErr="1">
      <w:pPr>
        <w:spacing w:line="240" w:lineRule="auto"/>
        <w:rPr>
          <w:rFonts w:eastAsia="Calibri" w:cs="Calibri" w:asciiTheme="minorHAnsi" w:hAnsiTheme="minorHAnsi"/>
          <w:color w:val="222222"/>
        </w:rPr>
      </w:pPr>
      <w:r w:rsidRPr="177ECB13" w:rsidR="177ECB13">
        <w:rPr>
          <w:rFonts w:ascii="Calibri" w:hAnsi="Calibri" w:eastAsia="Calibri" w:cs="Calibri" w:asciiTheme="minorAscii" w:hAnsiTheme="minorAscii" w:eastAsiaTheme="minorAscii" w:cstheme="minorAscii"/>
          <w:color w:val="222222"/>
        </w:rPr>
        <w:t>For a complete list of all columns included, please see the Appendix included at the end of this document.</w:t>
      </w:r>
    </w:p>
    <w:p w:rsidR="00F52836" w:rsidP="00F52836" w:rsidRDefault="00F52836" w14:paraId="3C3C8EED" w14:textId="77777777">
      <w:pPr>
        <w:pStyle w:val="Body"/>
        <w:rPr>
          <w:rStyle w:val="BodyChar"/>
        </w:rPr>
      </w:pPr>
    </w:p>
    <w:p w:rsidR="1B9B5D70" w:rsidRDefault="1B9B5D70" w14:noSpellErr="1" w14:paraId="1BB02957" w14:textId="7F88712F">
      <w:r>
        <w:br w:type="page"/>
      </w:r>
    </w:p>
    <w:p w:rsidRPr="00451482" w:rsidR="00F52836" w:rsidP="00F52836" w:rsidRDefault="00F52836" w14:paraId="78A50325" w14:textId="77777777" w14:noSpellErr="1">
      <w:pPr>
        <w:pStyle w:val="MainHeading"/>
        <w:spacing w:line="240" w:lineRule="auto"/>
      </w:pPr>
      <w:r w:rsidR="177ECB13">
        <w:rPr/>
        <w:t>Result:</w:t>
      </w:r>
    </w:p>
    <w:p w:rsidR="1B9B5D70" w:rsidP="1B9B5D70" w:rsidRDefault="1B9B5D70" w14:noSpellErr="1" w14:paraId="3D4277A8" w14:textId="7A2FE586">
      <w:pPr>
        <w:pStyle w:val="Heading5"/>
        <w:spacing w:before="280"/>
      </w:pPr>
      <w:r w:rsidRPr="1B9B5D70" w:rsidR="1B9B5D70">
        <w:rPr>
          <w:rFonts w:ascii="Calibri" w:hAnsi="Calibri" w:eastAsia="Calibri" w:cs="Calibri" w:asciiTheme="minorAscii" w:hAnsiTheme="minorAscii" w:eastAsiaTheme="minorAscii" w:cstheme="minorAscii"/>
        </w:rPr>
        <w:t>Life Expectancy:</w:t>
      </w:r>
    </w:p>
    <w:p w:rsidR="1B9B5D70" w:rsidP="1B9B5D70" w:rsidRDefault="1B9B5D70" w14:noSpellErr="1" w14:paraId="4DCA00D7" w14:textId="335C38FE">
      <w:pPr>
        <w:pStyle w:val="Normal"/>
      </w:pPr>
      <w:r w:rsidRPr="177ECB13" w:rsidR="177ECB13">
        <w:rPr>
          <w:rFonts w:ascii="Calibri" w:hAnsi="Calibri" w:eastAsia="Calibri" w:cs="Calibri" w:asciiTheme="minorAscii" w:hAnsiTheme="minorAscii" w:eastAsiaTheme="minorAscii" w:cstheme="minorAscii"/>
        </w:rPr>
        <w:t xml:space="preserve">The boxplot below shows the variation both between the various Life Expectancy </w:t>
      </w:r>
      <w:r w:rsidRPr="177ECB13" w:rsidR="177ECB13">
        <w:rPr>
          <w:rFonts w:ascii="Calibri" w:hAnsi="Calibri" w:eastAsia="Calibri" w:cs="Calibri" w:asciiTheme="minorAscii" w:hAnsiTheme="minorAscii" w:eastAsiaTheme="minorAscii" w:cstheme="minorAscii"/>
        </w:rPr>
        <w:t>measures</w:t>
      </w:r>
      <w:r w:rsidRPr="177ECB13" w:rsidR="177ECB13">
        <w:rPr>
          <w:rFonts w:ascii="Calibri" w:hAnsi="Calibri" w:eastAsia="Calibri" w:cs="Calibri" w:asciiTheme="minorAscii" w:hAnsiTheme="minorAscii" w:eastAsiaTheme="minorAscii" w:cstheme="minorAscii"/>
        </w:rPr>
        <w:t xml:space="preserve">, but also the </w:t>
      </w:r>
      <w:r w:rsidRPr="177ECB13" w:rsidR="177ECB13">
        <w:rPr>
          <w:rFonts w:ascii="Calibri" w:hAnsi="Calibri" w:eastAsia="Calibri" w:cs="Calibri" w:asciiTheme="minorAscii" w:hAnsiTheme="minorAscii" w:eastAsiaTheme="minorAscii" w:cstheme="minorAscii"/>
        </w:rPr>
        <w:t xml:space="preserve">variation of the </w:t>
      </w:r>
      <w:r w:rsidRPr="177ECB13" w:rsidR="177ECB13">
        <w:rPr>
          <w:rFonts w:ascii="Calibri" w:hAnsi="Calibri" w:eastAsia="Calibri" w:cs="Calibri" w:asciiTheme="minorAscii" w:hAnsiTheme="minorAscii" w:eastAsiaTheme="minorAscii" w:cstheme="minorAscii"/>
        </w:rPr>
        <w:t xml:space="preserve">measures </w:t>
      </w:r>
      <w:r w:rsidRPr="177ECB13" w:rsidR="177ECB13">
        <w:rPr>
          <w:rFonts w:ascii="Calibri" w:hAnsi="Calibri" w:eastAsia="Calibri" w:cs="Calibri" w:asciiTheme="minorAscii" w:hAnsiTheme="minorAscii" w:eastAsiaTheme="minorAscii" w:cstheme="minorAscii"/>
        </w:rPr>
        <w:t>across</w:t>
      </w:r>
      <w:r w:rsidRPr="177ECB13" w:rsidR="177ECB13">
        <w:rPr>
          <w:rFonts w:ascii="Calibri" w:hAnsi="Calibri" w:eastAsia="Calibri" w:cs="Calibri" w:asciiTheme="minorAscii" w:hAnsiTheme="minorAscii" w:eastAsiaTheme="minorAscii" w:cstheme="minorAscii"/>
        </w:rPr>
        <w:t xml:space="preserve"> the </w:t>
      </w:r>
      <w:r w:rsidRPr="177ECB13" w:rsidR="177ECB13">
        <w:rPr>
          <w:rFonts w:ascii="Calibri" w:hAnsi="Calibri" w:eastAsia="Calibri" w:cs="Calibri" w:asciiTheme="minorAscii" w:hAnsiTheme="minorAscii" w:eastAsiaTheme="minorAscii" w:cstheme="minorAscii"/>
        </w:rPr>
        <w:t>dataset of 194 countries</w:t>
      </w:r>
      <w:r w:rsidRPr="177ECB13" w:rsidR="177ECB13">
        <w:rPr>
          <w:rFonts w:ascii="Calibri" w:hAnsi="Calibri" w:eastAsia="Calibri" w:cs="Calibri" w:asciiTheme="minorAscii" w:hAnsiTheme="minorAscii" w:eastAsiaTheme="minorAscii" w:cstheme="minorAscii"/>
        </w:rPr>
        <w:t>. As anticipated,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 xml:space="preserve">xpectancy at age 60 has a higher mean, as the starting point takes into account they have reached age 60. </w:t>
      </w:r>
      <w:r w:rsidRPr="177ECB13" w:rsidR="177ECB13">
        <w:rPr>
          <w:rFonts w:ascii="Calibri" w:hAnsi="Calibri" w:eastAsia="Calibri" w:cs="Calibri" w:asciiTheme="minorAscii" w:hAnsiTheme="minorAscii" w:eastAsiaTheme="minorAscii" w:cstheme="minorAscii"/>
        </w:rPr>
        <w:t>Similarly, when you take into account a  Healthy Lifestyle (via the HALE measure), the mean and upper quartile drop.</w:t>
      </w:r>
    </w:p>
    <w:p w:rsidR="1B9B5D70" w:rsidP="1B9B5D70" w:rsidRDefault="1B9B5D70" w14:paraId="334450AB" w14:noSpellErr="1" w14:textId="15DC38B5">
      <w:pPr>
        <w:pStyle w:val="Normal"/>
      </w:pPr>
      <w:r>
        <w:drawing>
          <wp:inline wp14:editId="7763BE55" wp14:anchorId="6CC6C7A6">
            <wp:extent cx="2926384" cy="2321447"/>
            <wp:effectExtent l="0" t="0" r="0" b="0"/>
            <wp:docPr id="1101194236" name="picture" title="LE - Box"/>
            <wp:cNvGraphicFramePr>
              <a:graphicFrameLocks noChangeAspect="1"/>
            </wp:cNvGraphicFramePr>
            <a:graphic>
              <a:graphicData uri="http://schemas.openxmlformats.org/drawingml/2006/picture">
                <pic:pic>
                  <pic:nvPicPr>
                    <pic:cNvPr id="0" name="picture"/>
                    <pic:cNvPicPr/>
                  </pic:nvPicPr>
                  <pic:blipFill>
                    <a:blip r:embed="R1f0e571ccb3d4b26">
                      <a:extLst>
                        <a:ext xmlns:a="http://schemas.openxmlformats.org/drawingml/2006/main" uri="{28A0092B-C50C-407E-A947-70E740481C1C}">
                          <a14:useLocalDpi val="0"/>
                        </a:ext>
                      </a:extLst>
                    </a:blip>
                    <a:stretch>
                      <a:fillRect/>
                    </a:stretch>
                  </pic:blipFill>
                  <pic:spPr>
                    <a:xfrm rot="0">
                      <a:off x="0" y="0"/>
                      <a:ext cx="2926384" cy="2321447"/>
                    </a:xfrm>
                    <a:prstGeom prst="rect">
                      <a:avLst/>
                    </a:prstGeom>
                  </pic:spPr>
                </pic:pic>
              </a:graphicData>
            </a:graphic>
          </wp:inline>
        </w:drawing>
      </w:r>
    </w:p>
    <w:p w:rsidR="177ECB13" w:rsidP="177ECB13" w:rsidRDefault="177ECB13" w14:noSpellErr="1" w14:paraId="7F74CD49" w14:textId="39AB64ED">
      <w:pPr>
        <w:pStyle w:val="Heading5"/>
        <w:spacing w:before="280"/>
      </w:pPr>
      <w:r w:rsidRPr="177ECB13" w:rsidR="177ECB13">
        <w:rPr>
          <w:rFonts w:ascii="Calibri" w:hAnsi="Calibri" w:eastAsia="Calibri" w:cs="Calibri" w:asciiTheme="minorAscii" w:hAnsiTheme="minorAscii" w:eastAsiaTheme="minorAscii" w:cstheme="minorAscii"/>
          <w:color w:val="auto"/>
        </w:rPr>
        <w:t>Further delving into these statistics, the chart below maps each of these statistics for each region of the world. Africa has the lowest Life Expectancy at Birth and Healthy Life Expectancy, but if once at the age of 60 in Africa, your life expectancy is not significantly different than other regions of the world.</w:t>
      </w:r>
    </w:p>
    <w:p w:rsidR="177ECB13" w:rsidP="177ECB13" w:rsidRDefault="177ECB13" w14:noSpellErr="1" w14:paraId="5BDA12D2" w14:textId="40F0569C">
      <w:pPr>
        <w:pStyle w:val="Normal"/>
      </w:pPr>
      <w:r w:rsidRPr="177ECB13" w:rsidR="177ECB13">
        <w:rPr>
          <w:rFonts w:ascii="Calibri" w:hAnsi="Calibri" w:eastAsia="Calibri" w:cs="Calibri" w:asciiTheme="minorAscii" w:hAnsiTheme="minorAscii" w:eastAsiaTheme="minorAscii" w:cstheme="minorAscii"/>
          <w:color w:val="auto"/>
        </w:rPr>
        <w:t>As anticipated, Europe and the Americas share honors for the longest life expectancy.</w:t>
      </w:r>
    </w:p>
    <w:p w:rsidR="177ECB13" w:rsidP="177ECB13" w:rsidRDefault="177ECB13" w14:noSpellErr="1" w14:paraId="427AEBFD" w14:textId="5C93F5A1">
      <w:pPr>
        <w:pStyle w:val="Normal"/>
      </w:pPr>
      <w:r>
        <w:drawing>
          <wp:inline wp14:editId="105F8E9B" wp14:anchorId="254BAA7C">
            <wp:extent cx="3848100" cy="4572000"/>
            <wp:effectExtent l="0" t="0" r="0" b="0"/>
            <wp:docPr id="504366815" name="picture" title=""/>
            <wp:cNvGraphicFramePr>
              <a:graphicFrameLocks noChangeAspect="1"/>
            </wp:cNvGraphicFramePr>
            <a:graphic>
              <a:graphicData uri="http://schemas.openxmlformats.org/drawingml/2006/picture">
                <pic:pic>
                  <pic:nvPicPr>
                    <pic:cNvPr id="0" name="picture"/>
                    <pic:cNvPicPr/>
                  </pic:nvPicPr>
                  <pic:blipFill>
                    <a:blip r:embed="Rfd7baa101f874cca">
                      <a:extLst>
                        <a:ext xmlns:a="http://schemas.openxmlformats.org/drawingml/2006/main" uri="{28A0092B-C50C-407E-A947-70E740481C1C}">
                          <a14:useLocalDpi val="0"/>
                        </a:ext>
                      </a:extLst>
                    </a:blip>
                    <a:stretch>
                      <a:fillRect/>
                    </a:stretch>
                  </pic:blipFill>
                  <pic:spPr>
                    <a:xfrm>
                      <a:off x="0" y="0"/>
                      <a:ext cx="3848100" cy="4572000"/>
                    </a:xfrm>
                    <a:prstGeom prst="rect">
                      <a:avLst/>
                    </a:prstGeom>
                  </pic:spPr>
                </pic:pic>
              </a:graphicData>
            </a:graphic>
          </wp:inline>
        </w:drawing>
      </w:r>
    </w:p>
    <w:p w:rsidR="177ECB13" w:rsidP="177ECB13" w:rsidRDefault="177ECB13" w14:noSpellErr="1" w14:paraId="0AEA1BE4" w14:textId="54A52025">
      <w:pPr>
        <w:pStyle w:val="Heading5"/>
        <w:spacing w:before="280"/>
      </w:pPr>
      <w:r w:rsidRPr="177ECB13" w:rsidR="177ECB13">
        <w:rPr>
          <w:rFonts w:ascii="Calibri" w:hAnsi="Calibri" w:eastAsia="Calibri" w:cs="Calibri" w:asciiTheme="minorAscii" w:hAnsiTheme="minorAscii" w:eastAsiaTheme="minorAscii" w:cstheme="minorAscii"/>
        </w:rPr>
        <w:t>The next 3 charts show the distribution of these 3 measures, including an indicator of the mean (green line) across all of the countries.</w:t>
      </w:r>
    </w:p>
    <w:p w:rsidR="177ECB13" w:rsidP="177ECB13" w:rsidRDefault="177ECB13" w14:noSpellErr="1" w14:paraId="02474CBB" w14:textId="2BB062E9">
      <w:pPr>
        <w:pStyle w:val="Normal"/>
      </w:pPr>
      <w:r>
        <w:drawing>
          <wp:inline wp14:editId="3E4CE153" wp14:anchorId="26495C7F">
            <wp:extent cx="3411855" cy="2468880"/>
            <wp:effectExtent l="0" t="0" r="0" b="0"/>
            <wp:docPr id="1045795099" name="picture" title=""/>
            <wp:cNvGraphicFramePr>
              <a:graphicFrameLocks noChangeAspect="1"/>
            </wp:cNvGraphicFramePr>
            <a:graphic>
              <a:graphicData uri="http://schemas.openxmlformats.org/drawingml/2006/picture">
                <pic:pic>
                  <pic:nvPicPr>
                    <pic:cNvPr id="0" name="picture"/>
                    <pic:cNvPicPr/>
                  </pic:nvPicPr>
                  <pic:blipFill>
                    <a:blip r:embed="R0edc9c5ee139462c">
                      <a:extLst>
                        <a:ext xmlns:a="http://schemas.openxmlformats.org/drawingml/2006/main" uri="{28A0092B-C50C-407E-A947-70E740481C1C}">
                          <a14:useLocalDpi val="0"/>
                        </a:ext>
                      </a:extLst>
                    </a:blip>
                    <a:stretch>
                      <a:fillRect/>
                    </a:stretch>
                  </pic:blipFill>
                  <pic:spPr>
                    <a:xfrm>
                      <a:off x="0" y="0"/>
                      <a:ext cx="3411855" cy="2468880"/>
                    </a:xfrm>
                    <a:prstGeom prst="rect">
                      <a:avLst/>
                    </a:prstGeom>
                  </pic:spPr>
                </pic:pic>
              </a:graphicData>
            </a:graphic>
          </wp:inline>
        </w:drawing>
      </w:r>
      <w:r w:rsidRPr="177ECB13" w:rsidR="177ECB13">
        <w:rPr/>
        <w:t xml:space="preserve"> </w:t>
      </w:r>
      <w:r>
        <w:drawing>
          <wp:inline wp14:editId="295B5EE0" wp14:anchorId="1DDA450F">
            <wp:extent cx="3411855" cy="2486025"/>
            <wp:effectExtent l="0" t="0" r="0" b="0"/>
            <wp:docPr id="1875466450" name="picture" title=""/>
            <wp:cNvGraphicFramePr>
              <a:graphicFrameLocks noChangeAspect="1"/>
            </wp:cNvGraphicFramePr>
            <a:graphic>
              <a:graphicData uri="http://schemas.openxmlformats.org/drawingml/2006/picture">
                <pic:pic>
                  <pic:nvPicPr>
                    <pic:cNvPr id="0" name="picture"/>
                    <pic:cNvPicPr/>
                  </pic:nvPicPr>
                  <pic:blipFill>
                    <a:blip r:embed="R467850c24df64648">
                      <a:extLst>
                        <a:ext xmlns:a="http://schemas.openxmlformats.org/drawingml/2006/main" uri="{28A0092B-C50C-407E-A947-70E740481C1C}">
                          <a14:useLocalDpi val="0"/>
                        </a:ext>
                      </a:extLst>
                    </a:blip>
                    <a:stretch>
                      <a:fillRect/>
                    </a:stretch>
                  </pic:blipFill>
                  <pic:spPr>
                    <a:xfrm>
                      <a:off x="0" y="0"/>
                      <a:ext cx="3411855" cy="2486025"/>
                    </a:xfrm>
                    <a:prstGeom prst="rect">
                      <a:avLst/>
                    </a:prstGeom>
                  </pic:spPr>
                </pic:pic>
              </a:graphicData>
            </a:graphic>
          </wp:inline>
        </w:drawing>
      </w:r>
    </w:p>
    <w:p w:rsidR="177ECB13" w:rsidP="177ECB13" w:rsidRDefault="177ECB13" w14:noSpellErr="1" w14:paraId="132BD6A7" w14:textId="400FD312">
      <w:pPr>
        <w:pStyle w:val="Normal"/>
      </w:pPr>
      <w:r>
        <w:drawing>
          <wp:inline wp14:editId="42572F25" wp14:anchorId="3BFB80FC">
            <wp:extent cx="3497580" cy="2477452"/>
            <wp:effectExtent l="0" t="0" r="0" b="0"/>
            <wp:docPr id="1754536197" name="picture" title=""/>
            <wp:cNvGraphicFramePr>
              <a:graphicFrameLocks noChangeAspect="1"/>
            </wp:cNvGraphicFramePr>
            <a:graphic>
              <a:graphicData uri="http://schemas.openxmlformats.org/drawingml/2006/picture">
                <pic:pic>
                  <pic:nvPicPr>
                    <pic:cNvPr id="0" name="picture"/>
                    <pic:cNvPicPr/>
                  </pic:nvPicPr>
                  <pic:blipFill>
                    <a:blip r:embed="R375160f35f47471e">
                      <a:extLst>
                        <a:ext xmlns:a="http://schemas.openxmlformats.org/drawingml/2006/main" uri="{28A0092B-C50C-407E-A947-70E740481C1C}">
                          <a14:useLocalDpi val="0"/>
                        </a:ext>
                      </a:extLst>
                    </a:blip>
                    <a:stretch>
                      <a:fillRect/>
                    </a:stretch>
                  </pic:blipFill>
                  <pic:spPr>
                    <a:xfrm>
                      <a:off x="0" y="0"/>
                      <a:ext cx="3497580" cy="2477452"/>
                    </a:xfrm>
                    <a:prstGeom prst="rect">
                      <a:avLst/>
                    </a:prstGeom>
                  </pic:spPr>
                </pic:pic>
              </a:graphicData>
            </a:graphic>
          </wp:inline>
        </w:drawing>
      </w:r>
    </w:p>
    <w:p w:rsidR="177ECB13" w:rsidP="177ECB13" w:rsidRDefault="177ECB13" w14:noSpellErr="1" w14:paraId="0AA0F873" w14:textId="704C6FA9">
      <w:pPr>
        <w:pStyle w:val="Normal"/>
      </w:pPr>
      <w:r w:rsidRPr="177ECB13" w:rsidR="177ECB13">
        <w:rPr>
          <w:rFonts w:ascii="Calibri" w:hAnsi="Calibri" w:eastAsia="Calibri" w:cs="Calibri" w:asciiTheme="minorAscii" w:hAnsiTheme="minorAscii" w:eastAsiaTheme="minorAscii" w:cstheme="minorAscii"/>
        </w:rPr>
        <w:t>Combined together, the charts follow our original assumptions.  Healthy life expectancy trends lower than the life expectancy measures, and once the age of 60 is reached, the number that reach over 80 is significantly high.</w:t>
      </w:r>
    </w:p>
    <w:p w:rsidR="177ECB13" w:rsidP="177ECB13" w:rsidRDefault="177ECB13" w14:noSpellErr="1" w14:paraId="541C7263" w14:textId="6C75CE49">
      <w:pPr>
        <w:pStyle w:val="Normal"/>
      </w:pPr>
      <w:r>
        <w:drawing>
          <wp:inline wp14:editId="704481DD" wp14:anchorId="35E1CCA6">
            <wp:extent cx="4572000" cy="2590800"/>
            <wp:effectExtent l="0" t="0" r="0" b="0"/>
            <wp:docPr id="823044914" name="picture" title=""/>
            <wp:cNvGraphicFramePr>
              <a:graphicFrameLocks noChangeAspect="1"/>
            </wp:cNvGraphicFramePr>
            <a:graphic>
              <a:graphicData uri="http://schemas.openxmlformats.org/drawingml/2006/picture">
                <pic:pic>
                  <pic:nvPicPr>
                    <pic:cNvPr id="0" name="picture"/>
                    <pic:cNvPicPr/>
                  </pic:nvPicPr>
                  <pic:blipFill>
                    <a:blip r:embed="R68cd4f77f68c41d0">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177ECB13" w:rsidP="177ECB13" w:rsidRDefault="177ECB13" w14:noSpellErr="1" w14:paraId="7344A92F" w14:textId="6766F9EB">
      <w:pPr>
        <w:pStyle w:val="Normal"/>
      </w:pPr>
      <w:r w:rsidRPr="177ECB13" w:rsidR="177ECB13">
        <w:rPr>
          <w:rFonts w:ascii="Calibri" w:hAnsi="Calibri" w:eastAsia="Calibri" w:cs="Calibri" w:asciiTheme="minorAscii" w:hAnsiTheme="minorAscii" w:eastAsiaTheme="minorAscii" w:cstheme="minorAscii"/>
        </w:rPr>
        <w:t xml:space="preserve">For reference purposes, the chart below shows Life Expectancy at Birth for each year of data provided. </w:t>
      </w:r>
    </w:p>
    <w:p w:rsidR="177ECB13" w:rsidP="177ECB13" w:rsidRDefault="177ECB13" w14:noSpellErr="1" w14:paraId="2C7B1797" w14:textId="458FCDCA">
      <w:pPr>
        <w:pStyle w:val="Normal"/>
      </w:pPr>
      <w:r>
        <w:drawing>
          <wp:inline wp14:editId="1E31D496" wp14:anchorId="379F596F">
            <wp:extent cx="4572000" cy="2571750"/>
            <wp:effectExtent l="0" t="0" r="0" b="0"/>
            <wp:docPr id="1369062850" name="picture" title=""/>
            <wp:cNvGraphicFramePr>
              <a:graphicFrameLocks noChangeAspect="1"/>
            </wp:cNvGraphicFramePr>
            <a:graphic>
              <a:graphicData uri="http://schemas.openxmlformats.org/drawingml/2006/picture">
                <pic:pic>
                  <pic:nvPicPr>
                    <pic:cNvPr id="0" name="picture"/>
                    <pic:cNvPicPr/>
                  </pic:nvPicPr>
                  <pic:blipFill>
                    <a:blip r:embed="Rc538834d8b42441a">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77ECB13" w:rsidP="177ECB13" w:rsidRDefault="177ECB13" w14:noSpellErr="1" w14:paraId="3FF3EE4B" w14:textId="058940FF">
      <w:pPr>
        <w:pStyle w:val="Normal"/>
      </w:pPr>
      <w:r w:rsidRPr="177ECB13" w:rsidR="177ECB13">
        <w:rPr>
          <w:rFonts w:ascii="Calibri" w:hAnsi="Calibri" w:eastAsia="Calibri" w:cs="Calibri" w:asciiTheme="minorAscii" w:hAnsiTheme="minorAscii" w:eastAsiaTheme="minorAscii" w:cstheme="minorAscii"/>
        </w:rPr>
        <w:t xml:space="preserve">Diving into country specific details for Life Expectancy at Birth (for 2013), there are only 2 countries that life expectancies under 50: Zambia and Sierra Leone. </w:t>
      </w:r>
    </w:p>
    <w:p w:rsidR="177ECB13" w:rsidP="177ECB13" w:rsidRDefault="177ECB13" w14:noSpellErr="1" w14:paraId="257C6DAF" w14:textId="7CB5E1F7">
      <w:pPr>
        <w:pStyle w:val="Normal"/>
      </w:pPr>
      <w:r w:rsidRPr="177ECB13" w:rsidR="177ECB13">
        <w:rPr>
          <w:rFonts w:ascii="Calibri" w:hAnsi="Calibri" w:eastAsia="Calibri" w:cs="Calibri" w:asciiTheme="minorAscii" w:hAnsiTheme="minorAscii" w:eastAsiaTheme="minorAscii" w:cstheme="minorAscii"/>
        </w:rPr>
        <w:t>However, there are eleven countries with a l</w:t>
      </w:r>
      <w:r w:rsidRPr="177ECB13" w:rsidR="177ECB13">
        <w:rPr>
          <w:rFonts w:ascii="Calibri" w:hAnsi="Calibri" w:eastAsia="Calibri" w:cs="Calibri" w:asciiTheme="minorAscii" w:hAnsiTheme="minorAscii" w:eastAsiaTheme="minorAscii" w:cstheme="minorAscii"/>
        </w:rPr>
        <w:t>ife e</w:t>
      </w:r>
      <w:r w:rsidRPr="177ECB13" w:rsidR="177ECB13">
        <w:rPr>
          <w:rFonts w:ascii="Calibri" w:hAnsi="Calibri" w:eastAsia="Calibri" w:cs="Calibri" w:asciiTheme="minorAscii" w:hAnsiTheme="minorAscii" w:eastAsiaTheme="minorAscii" w:cstheme="minorAscii"/>
        </w:rPr>
        <w:t>xpectancy</w:t>
      </w:r>
      <w:r w:rsidRPr="177ECB13" w:rsidR="177ECB13">
        <w:rPr>
          <w:rFonts w:ascii="Calibri" w:hAnsi="Calibri" w:eastAsia="Calibri" w:cs="Calibri" w:asciiTheme="minorAscii" w:hAnsiTheme="minorAscii" w:eastAsiaTheme="minorAscii" w:cstheme="minorAscii"/>
        </w:rPr>
        <w:t xml:space="preserve"> (at Birth) over 80.</w:t>
      </w:r>
    </w:p>
    <w:p w:rsidR="177ECB13" w:rsidRDefault="177ECB13" w14:noSpellErr="1" w14:paraId="41C3DFCA" w14:textId="2AB17487">
      <w:r>
        <w:drawing>
          <wp:inline wp14:editId="09405223" wp14:anchorId="5C74D4F2">
            <wp:extent cx="5648326" cy="3895725"/>
            <wp:effectExtent l="0" t="0" r="0" b="0"/>
            <wp:docPr id="394596990" name="picture" title=""/>
            <wp:cNvGraphicFramePr>
              <a:graphicFrameLocks noChangeAspect="1"/>
            </wp:cNvGraphicFramePr>
            <a:graphic>
              <a:graphicData uri="http://schemas.openxmlformats.org/drawingml/2006/picture">
                <pic:pic>
                  <pic:nvPicPr>
                    <pic:cNvPr id="0" name="picture"/>
                    <pic:cNvPicPr/>
                  </pic:nvPicPr>
                  <pic:blipFill>
                    <a:blip r:embed="Rb159e86036354ab7">
                      <a:extLst>
                        <a:ext xmlns:a="http://schemas.openxmlformats.org/drawingml/2006/main" uri="{28A0092B-C50C-407E-A947-70E740481C1C}">
                          <a14:useLocalDpi val="0"/>
                        </a:ext>
                      </a:extLst>
                    </a:blip>
                    <a:stretch>
                      <a:fillRect/>
                    </a:stretch>
                  </pic:blipFill>
                  <pic:spPr>
                    <a:xfrm>
                      <a:off x="0" y="0"/>
                      <a:ext cx="5648326" cy="3895725"/>
                    </a:xfrm>
                    <a:prstGeom prst="rect">
                      <a:avLst/>
                    </a:prstGeom>
                  </pic:spPr>
                </pic:pic>
              </a:graphicData>
            </a:graphic>
          </wp:inline>
        </w:drawing>
      </w:r>
    </w:p>
    <w:p w:rsidRPr="00451482" w:rsidR="00037D43" w:rsidP="00037D43" w:rsidRDefault="00037D43" w14:paraId="2F6D0445" w14:textId="77777777" w14:noSpellErr="1">
      <w:pPr>
        <w:pStyle w:val="Heading5"/>
        <w:keepNext w:val="0"/>
        <w:keepLines w:val="0"/>
        <w:spacing w:before="280"/>
        <w:contextualSpacing w:val="0"/>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w:t>
      </w:r>
    </w:p>
    <w:p w:rsidR="00307BE3" w:rsidP="00F52836" w:rsidRDefault="00307BE3" w14:paraId="1A8C93F7" w14:textId="2042E562" w14:noSpellErr="1">
      <w:pPr>
        <w:pStyle w:val="Body"/>
      </w:pPr>
      <w:r w:rsidR="177ECB13">
        <w:rPr/>
        <w:t>Correlations of Life Expectancy against Environmental Hygiene factors and cross correlation between Hygiene factors:</w:t>
      </w:r>
    </w:p>
    <w:p w:rsidR="00307BE3" w:rsidP="00F52836" w:rsidRDefault="00307BE3" w14:paraId="2F50B998" w14:textId="2C13DEFD">
      <w:pPr>
        <w:pStyle w:val="Body"/>
      </w:pPr>
      <w:r>
        <w:drawing>
          <wp:inline wp14:editId="6284806D" wp14:anchorId="115E6C26">
            <wp:extent cx="3910814" cy="2239303"/>
            <wp:effectExtent l="0" t="0" r="1270" b="0"/>
            <wp:docPr id="833549010" name="picture" title=""/>
            <wp:cNvGraphicFramePr>
              <a:graphicFrameLocks noChangeAspect="1"/>
            </wp:cNvGraphicFramePr>
            <a:graphic>
              <a:graphicData uri="http://schemas.openxmlformats.org/drawingml/2006/picture">
                <pic:pic>
                  <pic:nvPicPr>
                    <pic:cNvPr id="0" name="picture"/>
                    <pic:cNvPicPr/>
                  </pic:nvPicPr>
                  <pic:blipFill>
                    <a:blip r:embed="R6a7dbaedbf894a1f">
                      <a:extLst>
                        <a:ext xmlns:a="http://schemas.openxmlformats.org/drawingml/2006/main" uri="{28A0092B-C50C-407E-A947-70E740481C1C}">
                          <a14:useLocalDpi val="0"/>
                        </a:ext>
                      </a:extLst>
                    </a:blip>
                    <a:stretch>
                      <a:fillRect/>
                    </a:stretch>
                  </pic:blipFill>
                  <pic:spPr>
                    <a:xfrm>
                      <a:off x="0" y="0"/>
                      <a:ext cx="3910814" cy="2239303"/>
                    </a:xfrm>
                    <a:prstGeom prst="rect">
                      <a:avLst/>
                    </a:prstGeom>
                  </pic:spPr>
                </pic:pic>
              </a:graphicData>
            </a:graphic>
          </wp:inline>
        </w:drawing>
      </w:r>
    </w:p>
    <w:p w:rsidR="00307BE3" w:rsidP="00F52836" w:rsidRDefault="00307BE3" w14:paraId="4166A96F" w14:textId="77777777">
      <w:pPr>
        <w:pStyle w:val="Body"/>
      </w:pPr>
      <w:bookmarkStart w:name="_GoBack" w:id="1"/>
      <w:bookmarkEnd w:id="1"/>
    </w:p>
    <w:p w:rsidR="00F52836" w:rsidP="00F52836" w:rsidRDefault="00307BE3" w14:paraId="06AEAB49" w14:textId="1E1539A2" w14:noSpellErr="1">
      <w:pPr>
        <w:pStyle w:val="Body"/>
      </w:pPr>
      <w:r w:rsidR="177ECB13">
        <w:rPr/>
        <w:t xml:space="preserve">While access to sanitation facilities had the highest correlation to Life Expectancies (and among Life Expectancies, most highly correlated with “At Birth” expectancies), both rural </w:t>
      </w:r>
      <w:r w:rsidRPr="177ECB13" w:rsidR="177ECB13">
        <w:rPr>
          <w:b w:val="1"/>
          <w:bCs w:val="1"/>
          <w:i w:val="1"/>
          <w:iCs w:val="1"/>
        </w:rPr>
        <w:t>and</w:t>
      </w:r>
      <w:r w:rsidRPr="177ECB13" w:rsidR="177ECB13">
        <w:rPr>
          <w:i w:val="1"/>
          <w:iCs w:val="1"/>
        </w:rPr>
        <w:t xml:space="preserve"> </w:t>
      </w:r>
      <w:r w:rsidR="177ECB13">
        <w:rPr/>
        <w:t>urban sanitation access is most highly correlated with rural access to clean drinking water. In fact, even urban sanitation access showed higher correlation with rural access to clean drinking water than to urban access to clean drinking water.</w:t>
      </w:r>
    </w:p>
    <w:p w:rsidR="00307BE3" w:rsidP="00F52836" w:rsidRDefault="00307BE3" w14:paraId="18CD7F65" w14:textId="77777777">
      <w:pPr>
        <w:pStyle w:val="Body"/>
      </w:pPr>
    </w:p>
    <w:p w:rsidR="00307BE3" w:rsidP="00F52836" w:rsidRDefault="00307BE3" w14:paraId="4DA79F1A" w14:textId="66E71276" w14:noSpellErr="1">
      <w:pPr>
        <w:pStyle w:val="Body"/>
      </w:pPr>
      <w:r w:rsidR="177ECB13">
        <w:rPr/>
        <w:t>Comparing rural access to clean drinking water with urban access to clean drinking water, across all life expectancies the rural access was more highly correlated than the urban access.</w:t>
      </w:r>
    </w:p>
    <w:p w:rsidR="00307BE3" w:rsidP="00F52836" w:rsidRDefault="00307BE3" w14:paraId="76AD06B4" w14:textId="77777777">
      <w:pPr>
        <w:pStyle w:val="Body"/>
      </w:pPr>
    </w:p>
    <w:p w:rsidR="00307BE3" w:rsidP="00F52836" w:rsidRDefault="00307BE3" w14:paraId="6E19BD2D" w14:textId="29FAEE16" w14:noSpellErr="1">
      <w:pPr>
        <w:pStyle w:val="Body"/>
      </w:pPr>
      <w:r w:rsidR="177ECB13">
        <w:rPr/>
        <w:t>Given rural access to clean drinking water having such high correlations to sanitation and life expectancy, it appears that efforts to improve rural access to clean drinking water have the largest environmental / hygiene beneficial impact on life expectancy.</w:t>
      </w:r>
    </w:p>
    <w:p w:rsidRPr="00451482" w:rsidR="00F52836" w:rsidP="00F52836" w:rsidRDefault="00F52836" w14:paraId="40FFA353" w14:textId="77777777" w14:noSpellErr="1">
      <w:pPr>
        <w:pStyle w:val="MainHeading"/>
        <w:spacing w:line="240" w:lineRule="auto"/>
      </w:pPr>
      <w:r w:rsidR="177ECB13">
        <w:rPr/>
        <w:t>Discussion:</w:t>
      </w:r>
    </w:p>
    <w:p w:rsidR="00F52836" w:rsidP="00F52836" w:rsidRDefault="00F52836" w14:paraId="1D792B57" w14:textId="77777777" w14:noSpellErr="1">
      <w:pPr>
        <w:pStyle w:val="Body"/>
        <w:rPr>
          <w:rStyle w:val="BodyChar"/>
        </w:rPr>
      </w:pPr>
      <w:r w:rsidRPr="177ECB13" w:rsidR="177ECB13">
        <w:rPr>
          <w:rStyle w:val="BodyChar"/>
          <w:highlight w:val="white"/>
        </w:rPr>
        <w:t>Our project</w:t>
      </w:r>
    </w:p>
    <w:p w:rsidR="00F52836" w:rsidP="00F52836" w:rsidRDefault="00F52836" w14:paraId="72553DA7" w14:textId="77777777">
      <w:pPr>
        <w:pStyle w:val="Body"/>
      </w:pPr>
    </w:p>
    <w:p w:rsidRPr="00451482" w:rsidR="00F52836" w:rsidP="00F52836" w:rsidRDefault="00F52836" w14:paraId="243A9B87" w14:textId="77777777" w14:noSpellErr="1">
      <w:pPr>
        <w:pStyle w:val="MainHeading"/>
        <w:spacing w:line="240" w:lineRule="auto"/>
      </w:pPr>
      <w:r w:rsidR="177ECB13">
        <w:rPr/>
        <w:t>Conclusion:</w:t>
      </w:r>
    </w:p>
    <w:p w:rsidR="00F52836" w:rsidP="00F52836" w:rsidRDefault="00F52836" w14:paraId="28B797E3" w14:textId="77777777">
      <w:pPr>
        <w:pStyle w:val="Body"/>
        <w:rPr>
          <w:rStyle w:val="BodyChar"/>
        </w:rPr>
      </w:pPr>
    </w:p>
    <w:p w:rsidR="00F52836" w:rsidP="00F52836" w:rsidRDefault="00F52836" w14:paraId="5C0A5FCD" w14:textId="77777777">
      <w:pPr>
        <w:pStyle w:val="Body"/>
      </w:pPr>
    </w:p>
    <w:p w:rsidR="00F52836" w:rsidP="00F52836" w:rsidRDefault="00F52836" w14:paraId="449B981E" w14:textId="77777777" w14:noSpellErr="1">
      <w:pPr>
        <w:pStyle w:val="MainHeading"/>
        <w:spacing w:line="240" w:lineRule="auto"/>
      </w:pPr>
      <w:r w:rsidR="177ECB13">
        <w:rPr/>
        <w:t>Sources:</w:t>
      </w:r>
    </w:p>
    <w:p w:rsidR="003B7374" w:rsidP="003B7374" w:rsidRDefault="003B7374" w14:paraId="47156956" w14:textId="77777777">
      <w:pPr>
        <w:pStyle w:val="Body"/>
      </w:pPr>
    </w:p>
    <w:p w:rsidR="003B7374" w:rsidP="003B7374" w:rsidRDefault="003B7374" w14:paraId="5254366D" w14:textId="77777777">
      <w:pPr>
        <w:pStyle w:val="Body"/>
      </w:pPr>
    </w:p>
    <w:p w:rsidR="003B7374" w:rsidP="003B7374" w:rsidRDefault="003B7374" w14:paraId="2AFB1F71" w14:textId="77777777" w14:noSpellErr="1">
      <w:pPr>
        <w:pStyle w:val="MainHeading"/>
      </w:pPr>
      <w:r w:rsidR="177ECB13">
        <w:rPr/>
        <w:t>Appendix:</w:t>
      </w:r>
    </w:p>
    <w:p w:rsidR="003B7374" w:rsidP="003B7374" w:rsidRDefault="003B7374" w14:paraId="465D7DDB" w14:textId="77777777" w14:noSpellErr="1">
      <w:pPr>
        <w:pStyle w:val="Body"/>
      </w:pPr>
      <w:r w:rsidR="177ECB13">
        <w:rPr/>
        <w:t>List of tables here…</w:t>
      </w:r>
    </w:p>
    <w:p w:rsidRPr="00451482" w:rsidR="003B7374" w:rsidP="00F52836" w:rsidRDefault="003B7374" w14:paraId="7B904B91" w14:textId="77777777">
      <w:pPr>
        <w:pStyle w:val="MainHeading"/>
        <w:spacing w:line="240" w:lineRule="auto"/>
      </w:pPr>
    </w:p>
    <w:p w:rsidRPr="00451482" w:rsidR="00A116EB" w:rsidP="1B9B5D70" w:rsidRDefault="00330A98" w14:textId="77777777" w14:paraId="3B644807">
      <w:pPr>
        <w:pStyle w:val="Heading5"/>
        <w:rPr>
          <w:rFonts w:asciiTheme="minorHAnsi" w:hAnsiTheme="minorHAnsi"/>
        </w:rPr>
      </w:pPr>
    </w:p>
    <w:p w:rsidRPr="00451482" w:rsidR="00A116EB" w:rsidRDefault="00A116EB" w14:paraId="64C7CE75" w14:noSpellErr="1" w14:textId="6B5179A4">
      <w:pPr>
        <w:pStyle w:val="Heading5"/>
        <w:keepNext w:val="0"/>
        <w:keepLines w:val="0"/>
        <w:spacing w:before="280"/>
        <w:contextualSpacing w:val="0"/>
        <w:rPr>
          <w:rFonts w:asciiTheme="minorHAnsi" w:hAnsiTheme="minorHAnsi"/>
        </w:rPr>
      </w:pPr>
      <w:bookmarkStart w:name="h.xurdl8k63jmc" w:colFirst="0" w:colLast="0" w:id="3"/>
      <w:bookmarkEnd w:id="3"/>
    </w:p>
    <w:p w:rsidRPr="00451482" w:rsidR="00A116EB" w:rsidRDefault="00A116EB" w14:paraId="7EFB76AD" w14:textId="77777777">
      <w:pPr>
        <w:pStyle w:val="Heading5"/>
        <w:keepNext w:val="0"/>
        <w:keepLines w:val="0"/>
        <w:spacing w:before="280"/>
        <w:contextualSpacing w:val="0"/>
        <w:rPr>
          <w:rFonts w:asciiTheme="minorHAnsi" w:hAnsiTheme="minorHAnsi"/>
        </w:rPr>
      </w:pPr>
      <w:bookmarkStart w:name="h.cd1wa0ys19wx" w:colFirst="0" w:colLast="0" w:id="4"/>
      <w:bookmarkEnd w:id="4"/>
    </w:p>
    <w:p w:rsidRPr="00451482" w:rsidR="00A116EB" w:rsidRDefault="00A116EB" w14:paraId="052F5907" w14:textId="77777777">
      <w:pPr>
        <w:pStyle w:val="Heading5"/>
        <w:keepNext w:val="0"/>
        <w:keepLines w:val="0"/>
        <w:spacing w:before="280"/>
        <w:contextualSpacing w:val="0"/>
        <w:rPr>
          <w:rFonts w:asciiTheme="minorHAnsi" w:hAnsiTheme="minorHAnsi"/>
        </w:rPr>
      </w:pPr>
      <w:bookmarkStart w:name="h.a8dvm74id9p0" w:colFirst="0" w:colLast="0" w:id="5"/>
      <w:bookmarkEnd w:id="5"/>
    </w:p>
    <w:p w:rsidRPr="00451482" w:rsidR="00A116EB" w:rsidRDefault="00A116EB" w14:paraId="3EDD1F5E" w14:textId="77777777" w14:noSpellErr="1">
      <w:pPr>
        <w:pStyle w:val="Heading5"/>
        <w:keepNext w:val="0"/>
        <w:keepLines w:val="0"/>
        <w:spacing w:before="280"/>
        <w:contextualSpacing w:val="0"/>
        <w:rPr>
          <w:rFonts w:asciiTheme="minorHAnsi" w:hAnsiTheme="minorHAnsi"/>
        </w:rPr>
      </w:pPr>
      <w:bookmarkStart w:name="h.6k6dbd5js5cu" w:colFirst="0" w:colLast="0" w:id="6"/>
      <w:bookmarkEnd w:id="6"/>
      <w:r w:rsidR="1B9B5D70">
        <w:rPr/>
        <w:t>FROM ORIGINAL WRITE-UP</w:t>
      </w:r>
    </w:p>
    <w:p w:rsidRPr="00451482" w:rsidR="00A116EB" w:rsidRDefault="00330A98" w14:paraId="7EE8189C" w14:textId="77777777" w14:noSpellErr="1">
      <w:pPr>
        <w:pStyle w:val="Heading5"/>
        <w:keepNext w:val="0"/>
        <w:keepLines w:val="0"/>
        <w:spacing w:before="280"/>
        <w:contextualSpacing w:val="0"/>
        <w:rPr>
          <w:rFonts w:asciiTheme="minorHAnsi" w:hAnsiTheme="minorHAnsi"/>
        </w:rPr>
      </w:pPr>
      <w:bookmarkStart w:name="h.2tsbs0xyr6pr" w:colFirst="0" w:colLast="0" w:id="7"/>
      <w:bookmarkEnd w:id="7"/>
      <w:r w:rsidRPr="177ECB13">
        <w:rPr>
          <w:rFonts w:ascii="Calibri" w:hAnsi="Calibri" w:eastAsia="Calibri" w:cs="Calibri" w:asciiTheme="minorAscii" w:hAnsiTheme="minorAscii" w:eastAsiaTheme="minorAscii" w:cstheme="minorAscii"/>
        </w:rPr>
        <w:t>Environmental Factors (Hygiene):</w:t>
      </w:r>
    </w:p>
    <w:p w:rsidRPr="00451482" w:rsidR="00A116EB" w:rsidRDefault="00330A98" w14:paraId="44656869" w14:textId="77777777">
      <w:pPr>
        <w:rPr>
          <w:rFonts w:asciiTheme="minorHAnsi" w:hAnsiTheme="minorHAnsi"/>
        </w:rPr>
      </w:pPr>
      <w:proofErr w:type="spellStart"/>
      <w:r w:rsidRPr="177ECB13" w:rsidR="177ECB13">
        <w:rPr>
          <w:rFonts w:ascii="Calibri" w:hAnsi="Calibri" w:eastAsia="Calibri" w:cs="Calibri" w:asciiTheme="minorAscii" w:hAnsiTheme="minorAscii" w:eastAsiaTheme="minorAscii" w:cstheme="minorAscii"/>
          <w:b w:val="1"/>
          <w:bCs w:val="1"/>
          <w:i w:val="1"/>
          <w:iCs w:val="1"/>
        </w:rPr>
        <w:t xml:space="preserve">Overview: </w:t>
      </w:r>
      <w:r w:rsidRPr="177ECB13" w:rsidR="177ECB13">
        <w:rPr>
          <w:rFonts w:ascii="Calibri" w:hAnsi="Calibri" w:eastAsia="Calibri" w:cs="Calibri" w:asciiTheme="minorAscii" w:hAnsiTheme="minorAscii" w:eastAsiaTheme="minorAscii" w:cstheme="minorAscii"/>
        </w:rPr>
        <w:t xml:space="preserve"> Access</w:t>
      </w:r>
      <w:proofErr w:type="spellEnd"/>
      <w:r w:rsidRPr="177ECB13" w:rsidR="177ECB13">
        <w:rPr>
          <w:rFonts w:ascii="Calibri" w:hAnsi="Calibri" w:eastAsia="Calibri" w:cs="Calibri" w:asciiTheme="minorAscii" w:hAnsiTheme="minorAscii" w:eastAsiaTheme="minorAscii" w:cstheme="minorAscii"/>
        </w:rPr>
        <w:t xml:space="preserve"> to improved drinking water and improved sanitation facilities has data for 192 countries and 3 sample years (1990,2000,2015) for Rural, Urban and Total populations as a percentage.</w:t>
      </w:r>
    </w:p>
    <w:p w:rsidRPr="00451482" w:rsidR="00A116EB" w:rsidRDefault="00330A98" w14:paraId="7064576F"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Source:</w:t>
      </w:r>
      <w:r w:rsidRPr="177ECB13" w:rsidR="177ECB13">
        <w:rPr>
          <w:rFonts w:ascii="Calibri" w:hAnsi="Calibri" w:eastAsia="Calibri" w:cs="Calibri" w:asciiTheme="minorAscii" w:hAnsiTheme="minorAscii" w:eastAsiaTheme="minorAscii" w:cstheme="minorAscii"/>
        </w:rPr>
        <w:t xml:space="preserve"> http://apps.who.int/gho/data/node.main.167?lang=en</w:t>
      </w:r>
    </w:p>
    <w:p w:rsidRPr="00451482" w:rsidR="00A116EB" w:rsidRDefault="00330A98" w14:paraId="3DF42F30" w14:textId="77777777">
      <w:pPr>
        <w:rPr>
          <w:rFonts w:asciiTheme="minorHAnsi" w:hAnsiTheme="minorHAnsi"/>
        </w:rPr>
      </w:pPr>
      <w:r w:rsidRPr="177ECB13">
        <w:rPr>
          <w:rFonts w:ascii="Calibri" w:hAnsi="Calibri" w:eastAsia="Calibri" w:cs="Calibri" w:asciiTheme="minorAscii" w:hAnsiTheme="minorAscii" w:eastAsiaTheme="minorAscii" w:cstheme="minorAscii"/>
          <w:b w:val="1"/>
          <w:bCs w:val="1"/>
          <w:i w:val="1"/>
          <w:iCs w:val="1"/>
        </w:rPr>
        <w:t>Total records:</w:t>
      </w:r>
      <w:r w:rsidRPr="177ECB13">
        <w:rPr>
          <w:rFonts w:ascii="Calibri" w:hAnsi="Calibri" w:eastAsia="Calibri" w:cs="Calibri" w:asciiTheme="minorAscii" w:hAnsiTheme="minorAscii" w:eastAsiaTheme="minorAscii" w:cstheme="minorAscii"/>
        </w:rPr>
        <w:t xml:space="preserve"> </w:t>
      </w:r>
      <w:r w:rsidRPr="00451482">
        <w:rPr>
          <w:rFonts w:eastAsia="Calibri" w:cs="Calibri" w:asciiTheme="minorHAnsi" w:hAnsiTheme="minorHAnsi"/>
        </w:rPr>
        <w:tab/>
      </w:r>
      <w:proofErr w:type="spellStart"/>
      <w:r w:rsidRPr="177ECB13" w:rsidR="177ECB13">
        <w:rPr>
          <w:rFonts w:ascii="Calibri" w:hAnsi="Calibri" w:eastAsia="Calibri" w:cs="Calibri" w:asciiTheme="minorAscii" w:hAnsiTheme="minorAscii" w:eastAsiaTheme="minorAscii" w:cstheme="minorAscii"/>
        </w:rPr>
        <w:t>558</w:t>
      </w:r>
      <w:r w:rsidRPr="00451482">
        <w:rPr>
          <w:rFonts w:eastAsia="Calibri" w:cs="Calibri" w:asciiTheme="minorHAnsi" w:hAnsiTheme="minorHAnsi"/>
        </w:rPr>
        <w:tab/>
      </w:r>
      <w:r w:rsidRPr="177ECB13">
        <w:rPr>
          <w:rFonts w:ascii="Calibri" w:hAnsi="Calibri" w:eastAsia="Calibri" w:cs="Calibri" w:asciiTheme="minorAscii" w:hAnsiTheme="minorAscii" w:eastAsiaTheme="minorAscii" w:cstheme="minorAscii"/>
          <w:b w:val="1"/>
          <w:bCs w:val="1"/>
          <w:i w:val="1"/>
          <w:iCs w:val="1"/>
        </w:rPr>
        <w:t>Total</w:t>
      </w:r>
      <w:proofErr w:type="spellEnd"/>
      <w:r w:rsidRPr="177ECB13">
        <w:rPr>
          <w:rFonts w:ascii="Calibri" w:hAnsi="Calibri" w:eastAsia="Calibri" w:cs="Calibri" w:asciiTheme="minorAscii" w:hAnsiTheme="minorAscii" w:eastAsiaTheme="minorAscii" w:cstheme="minorAscii"/>
          <w:b w:val="1"/>
          <w:bCs w:val="1"/>
          <w:i w:val="1"/>
          <w:iCs w:val="1"/>
        </w:rPr>
        <w:t xml:space="preserve"> Columns:</w:t>
      </w:r>
      <w:r w:rsidRPr="177ECB13">
        <w:rPr>
          <w:rFonts w:ascii="Calibri" w:hAnsi="Calibri" w:eastAsia="Calibri" w:cs="Calibri" w:asciiTheme="minorAscii" w:hAnsiTheme="minorAscii" w:eastAsiaTheme="minorAscii" w:cstheme="minorAscii"/>
        </w:rPr>
        <w:t xml:space="preserve"> 7</w:t>
      </w:r>
    </w:p>
    <w:p w:rsidR="00A116EB" w:rsidRDefault="00330A98" w14:paraId="28FF636C" w14:textId="7AB3A6CE" w14:noSpellErr="1">
      <w:pPr>
        <w:rPr>
          <w:rFonts w:eastAsia="Calibri" w:cs="Calibri"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Planned Analysis:</w:t>
      </w:r>
      <w:r w:rsidRPr="177ECB13" w:rsidR="177ECB13">
        <w:rPr>
          <w:rFonts w:ascii="Calibri" w:hAnsi="Calibri" w:eastAsia="Calibri" w:cs="Calibri" w:asciiTheme="minorAscii" w:hAnsiTheme="minorAscii" w:eastAsiaTheme="minorAscii" w:cstheme="minorAscii"/>
        </w:rPr>
        <w:t xml:space="preserve"> For analysis in hygiene and sanitary conditions, we will check if life expectancy of the total population has any significant correlation with sanitary access for the different populations. To do this, we will look at Country, Population (Rural, Urb</w:t>
      </w:r>
      <w:r w:rsidRPr="177ECB13" w:rsidR="177ECB13">
        <w:rPr>
          <w:rFonts w:ascii="Calibri" w:hAnsi="Calibri" w:eastAsia="Calibri" w:cs="Calibri" w:asciiTheme="minorAscii" w:hAnsiTheme="minorAscii" w:eastAsiaTheme="minorAscii" w:cstheme="minorAscii"/>
        </w:rPr>
        <w:t xml:space="preserve">an, Total) and data from 1990, </w:t>
      </w:r>
      <w:r w:rsidRPr="177ECB13" w:rsidR="177ECB13">
        <w:rPr>
          <w:rFonts w:ascii="Calibri" w:hAnsi="Calibri" w:eastAsia="Calibri" w:cs="Calibri" w:asciiTheme="minorAscii" w:hAnsiTheme="minorAscii" w:eastAsiaTheme="minorAscii" w:cstheme="minorAscii"/>
        </w:rPr>
        <w:t xml:space="preserve">2000 </w:t>
      </w:r>
      <w:r w:rsidRPr="177ECB13" w:rsidR="177ECB13">
        <w:rPr>
          <w:rFonts w:ascii="Calibri" w:hAnsi="Calibri" w:eastAsia="Calibri" w:cs="Calibri" w:asciiTheme="minorAscii" w:hAnsiTheme="minorAscii" w:eastAsiaTheme="minorAscii" w:cstheme="minorAscii"/>
        </w:rPr>
        <w:t xml:space="preserve">and 2015 </w:t>
      </w:r>
      <w:r w:rsidRPr="177ECB13" w:rsidR="177ECB13">
        <w:rPr>
          <w:rFonts w:ascii="Calibri" w:hAnsi="Calibri" w:eastAsia="Calibri" w:cs="Calibri" w:asciiTheme="minorAscii" w:hAnsiTheme="minorAscii" w:eastAsiaTheme="minorAscii" w:cstheme="minorAscii"/>
        </w:rPr>
        <w:t>(as it matches up to the Life Expectancy</w:t>
      </w:r>
      <w:r w:rsidRPr="177ECB13" w:rsidR="177ECB13">
        <w:rPr>
          <w:rFonts w:ascii="Calibri" w:hAnsi="Calibri" w:eastAsia="Calibri" w:cs="Calibri" w:asciiTheme="minorAscii" w:hAnsiTheme="minorAscii" w:eastAsiaTheme="minorAscii" w:cstheme="minorAscii"/>
        </w:rPr>
        <w:t xml:space="preserve"> in the years 1990, 2000 and 2013</w:t>
      </w:r>
      <w:r w:rsidRPr="177ECB13" w:rsidR="177ECB13">
        <w:rPr>
          <w:rFonts w:ascii="Calibri" w:hAnsi="Calibri" w:eastAsia="Calibri" w:cs="Calibri" w:asciiTheme="minorAscii" w:hAnsiTheme="minorAscii" w:eastAsiaTheme="minorAscii" w:cstheme="minorAscii"/>
        </w:rPr>
        <w:t>). Our initial hypothesis is that countries with higher percentage of access will have higher life expectancy. Within the file itself, we will compare rural vs urban improvement over time.</w:t>
      </w:r>
    </w:p>
    <w:p w:rsidRPr="00451482" w:rsidR="00B87313" w:rsidP="00B87313" w:rsidRDefault="00B87313" w14:paraId="132C1F89"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b w:val="1"/>
          <w:bCs w:val="1"/>
          <w:i w:val="1"/>
          <w:iCs w:val="1"/>
        </w:rPr>
        <w:t>Initial Analysis</w:t>
      </w:r>
    </w:p>
    <w:p w:rsidR="00B87313" w:rsidRDefault="00B87313" w14:paraId="33D7D92F" w14:textId="618466A7">
      <w:pPr>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The initial data set was fairly clean, and only required splitting up the </w:t>
      </w:r>
      <w:proofErr w:type="spellStart"/>
      <w:r w:rsidRPr="177ECB13" w:rsidR="177ECB13">
        <w:rPr>
          <w:rFonts w:ascii="Calibri" w:hAnsi="Calibri" w:eastAsia="Calibri" w:cs="Calibri" w:asciiTheme="minorAscii" w:hAnsiTheme="minorAscii" w:eastAsiaTheme="minorAscii" w:cstheme="minorAscii"/>
        </w:rPr>
        <w:t>Country;Year</w:t>
      </w:r>
      <w:proofErr w:type="spellEnd"/>
      <w:r w:rsidRPr="177ECB13" w:rsidR="177ECB13">
        <w:rPr>
          <w:rFonts w:ascii="Calibri" w:hAnsi="Calibri" w:eastAsia="Calibri" w:cs="Calibri" w:asciiTheme="minorAscii" w:hAnsiTheme="minorAscii" w:eastAsiaTheme="minorAscii" w:cstheme="minorAscii"/>
        </w:rPr>
        <w:t xml:space="preserve"> column into separate columns. We began our analysis looking at how rapid the changes were for increases in access to drinking water for both the rural and urban populations across all countries. Increases in rural access to drinking water showed significant improvement from 1990 to 2015, moving from having some countries to less than 30% access in 1990 to all countries being better than that in 2015.</w:t>
      </w:r>
    </w:p>
    <w:p w:rsidR="00B87313" w:rsidRDefault="00B87313" w14:paraId="7A7E7CBD" w14:textId="0F5A8C96">
      <w:pPr>
        <w:rPr>
          <w:rFonts w:asciiTheme="minorHAnsi" w:hAnsiTheme="minorHAnsi"/>
        </w:rPr>
      </w:pPr>
      <w:r>
        <w:drawing>
          <wp:inline wp14:editId="1071D326" wp14:anchorId="0EFF8F4C">
            <wp:extent cx="2908935" cy="2815699"/>
            <wp:effectExtent l="0" t="0" r="12065" b="3810"/>
            <wp:docPr id="829056962" name="picture" title=""/>
            <wp:cNvGraphicFramePr>
              <a:graphicFrameLocks noChangeAspect="1"/>
            </wp:cNvGraphicFramePr>
            <a:graphic>
              <a:graphicData uri="http://schemas.openxmlformats.org/drawingml/2006/picture">
                <pic:pic>
                  <pic:nvPicPr>
                    <pic:cNvPr id="0" name="picture"/>
                    <pic:cNvPicPr/>
                  </pic:nvPicPr>
                  <pic:blipFill>
                    <a:blip r:embed="Raa3236ac2b534d8b">
                      <a:extLst>
                        <a:ext xmlns:a="http://schemas.openxmlformats.org/drawingml/2006/main" uri="{28A0092B-C50C-407E-A947-70E740481C1C}">
                          <a14:useLocalDpi val="0"/>
                        </a:ext>
                      </a:extLst>
                    </a:blip>
                    <a:stretch>
                      <a:fillRect/>
                    </a:stretch>
                  </pic:blipFill>
                  <pic:spPr>
                    <a:xfrm>
                      <a:off x="0" y="0"/>
                      <a:ext cx="2908935" cy="2815699"/>
                    </a:xfrm>
                    <a:prstGeom prst="rect">
                      <a:avLst/>
                    </a:prstGeom>
                  </pic:spPr>
                </pic:pic>
              </a:graphicData>
            </a:graphic>
          </wp:inline>
        </w:drawing>
      </w:r>
      <w:r>
        <w:drawing>
          <wp:inline wp14:editId="3E5F25DE" wp14:anchorId="1FD019A1">
            <wp:extent cx="2841173" cy="2834982"/>
            <wp:effectExtent l="0" t="0" r="3810" b="10160"/>
            <wp:docPr id="1966622870" name="picture" title=""/>
            <wp:cNvGraphicFramePr>
              <a:graphicFrameLocks noChangeAspect="1"/>
            </wp:cNvGraphicFramePr>
            <a:graphic>
              <a:graphicData uri="http://schemas.openxmlformats.org/drawingml/2006/picture">
                <pic:pic>
                  <pic:nvPicPr>
                    <pic:cNvPr id="0" name="picture"/>
                    <pic:cNvPicPr/>
                  </pic:nvPicPr>
                  <pic:blipFill>
                    <a:blip r:embed="R66763aa2cfb44aba">
                      <a:extLst>
                        <a:ext xmlns:a="http://schemas.openxmlformats.org/drawingml/2006/main" uri="{28A0092B-C50C-407E-A947-70E740481C1C}">
                          <a14:useLocalDpi val="0"/>
                        </a:ext>
                      </a:extLst>
                    </a:blip>
                    <a:stretch>
                      <a:fillRect/>
                    </a:stretch>
                  </pic:blipFill>
                  <pic:spPr>
                    <a:xfrm>
                      <a:off x="0" y="0"/>
                      <a:ext cx="2841173" cy="2834982"/>
                    </a:xfrm>
                    <a:prstGeom prst="rect">
                      <a:avLst/>
                    </a:prstGeom>
                  </pic:spPr>
                </pic:pic>
              </a:graphicData>
            </a:graphic>
          </wp:inline>
        </w:drawing>
      </w:r>
    </w:p>
    <w:p w:rsidR="00B87313" w:rsidRDefault="00B87313" w14:paraId="7A701B93" w14:textId="12163A74"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Urban access also improved, but mostly at the high end, moving from many countries with between 80 and 90% access in 1990 to most countries going to greater than 95% access in 2015.</w:t>
      </w:r>
    </w:p>
    <w:p w:rsidR="00B87313" w:rsidRDefault="00B87313" w14:paraId="6A9C87E5" w14:textId="22F2AF18">
      <w:pPr>
        <w:rPr>
          <w:rFonts w:asciiTheme="minorHAnsi" w:hAnsiTheme="minorHAnsi"/>
        </w:rPr>
      </w:pPr>
    </w:p>
    <w:p w:rsidR="00B87313" w:rsidRDefault="00B87313" w14:paraId="6BB04F21" w14:textId="1A8FD1AC"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Sanitation access did not show as much movement as drinking water access.</w:t>
      </w:r>
    </w:p>
    <w:p w:rsidR="00B87313" w:rsidRDefault="00B87313" w14:paraId="31FEE479" w14:textId="0C945E96">
      <w:pPr>
        <w:rPr>
          <w:noProof/>
        </w:rPr>
      </w:pPr>
      <w:r>
        <w:drawing>
          <wp:inline wp14:editId="3E5F25DE" wp14:anchorId="2FAD6966">
            <wp:extent cx="2794635" cy="2710496"/>
            <wp:effectExtent l="0" t="0" r="0" b="7620"/>
            <wp:docPr id="1040168377" name="picture" title=""/>
            <wp:cNvGraphicFramePr>
              <a:graphicFrameLocks noChangeAspect="1"/>
            </wp:cNvGraphicFramePr>
            <a:graphic>
              <a:graphicData uri="http://schemas.openxmlformats.org/drawingml/2006/picture">
                <pic:pic>
                  <pic:nvPicPr>
                    <pic:cNvPr id="0" name="picture"/>
                    <pic:cNvPicPr/>
                  </pic:nvPicPr>
                  <pic:blipFill>
                    <a:blip r:embed="Rb958988ed810400f">
                      <a:extLst>
                        <a:ext xmlns:a="http://schemas.openxmlformats.org/drawingml/2006/main" uri="{28A0092B-C50C-407E-A947-70E740481C1C}">
                          <a14:useLocalDpi val="0"/>
                        </a:ext>
                      </a:extLst>
                    </a:blip>
                    <a:stretch>
                      <a:fillRect/>
                    </a:stretch>
                  </pic:blipFill>
                  <pic:spPr>
                    <a:xfrm>
                      <a:off x="0" y="0"/>
                      <a:ext cx="2794635" cy="2710496"/>
                    </a:xfrm>
                    <a:prstGeom prst="rect">
                      <a:avLst/>
                    </a:prstGeom>
                  </pic:spPr>
                </pic:pic>
              </a:graphicData>
            </a:graphic>
          </wp:inline>
        </w:drawing>
      </w:r>
      <w:r w:rsidRPr="1B9B5D70" w:rsidR="1B9B5D70">
        <w:rPr>
          <w:noProof/>
        </w:rPr>
        <w:t xml:space="preserve"> </w:t>
      </w:r>
      <w:r>
        <w:drawing>
          <wp:inline wp14:editId="296DA36B" wp14:anchorId="32FD570B">
            <wp:extent cx="2834231" cy="2679420"/>
            <wp:effectExtent l="0" t="0" r="10795" b="0"/>
            <wp:docPr id="1649261623" name="picture" title=""/>
            <wp:cNvGraphicFramePr>
              <a:graphicFrameLocks noChangeAspect="1"/>
            </wp:cNvGraphicFramePr>
            <a:graphic>
              <a:graphicData uri="http://schemas.openxmlformats.org/drawingml/2006/picture">
                <pic:pic>
                  <pic:nvPicPr>
                    <pic:cNvPr id="0" name="picture"/>
                    <pic:cNvPicPr/>
                  </pic:nvPicPr>
                  <pic:blipFill>
                    <a:blip r:embed="R88fc99d4b88649d8">
                      <a:extLst>
                        <a:ext xmlns:a="http://schemas.openxmlformats.org/drawingml/2006/main" uri="{28A0092B-C50C-407E-A947-70E740481C1C}">
                          <a14:useLocalDpi val="0"/>
                        </a:ext>
                      </a:extLst>
                    </a:blip>
                    <a:stretch>
                      <a:fillRect/>
                    </a:stretch>
                  </pic:blipFill>
                  <pic:spPr>
                    <a:xfrm>
                      <a:off x="0" y="0"/>
                      <a:ext cx="2834231" cy="2679420"/>
                    </a:xfrm>
                    <a:prstGeom prst="rect">
                      <a:avLst/>
                    </a:prstGeom>
                  </pic:spPr>
                </pic:pic>
              </a:graphicData>
            </a:graphic>
          </wp:inline>
        </w:drawing>
      </w:r>
    </w:p>
    <w:p w:rsidR="00E67D0C" w:rsidRDefault="00E67D0C" w14:paraId="7F79A93D" w14:textId="44754DB0"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All of the countries with the lowest access to clean drinking water are in Africa:</w:t>
      </w:r>
    </w:p>
    <w:p w:rsidRPr="00451482" w:rsidR="00E67D0C" w:rsidRDefault="00E67D0C" w14:paraId="6BAF7055" w14:textId="178DECE5">
      <w:pPr>
        <w:rPr>
          <w:rFonts w:asciiTheme="minorHAnsi" w:hAnsiTheme="minorHAnsi"/>
        </w:rPr>
      </w:pPr>
      <w:r>
        <w:drawing>
          <wp:inline wp14:editId="575AF623" wp14:anchorId="3AC5DA98">
            <wp:extent cx="4737735" cy="2471080"/>
            <wp:effectExtent l="0" t="0" r="12065" b="0"/>
            <wp:docPr id="1859222006" name="picture" title=""/>
            <wp:cNvGraphicFramePr>
              <a:graphicFrameLocks noChangeAspect="1"/>
            </wp:cNvGraphicFramePr>
            <a:graphic>
              <a:graphicData uri="http://schemas.openxmlformats.org/drawingml/2006/picture">
                <pic:pic>
                  <pic:nvPicPr>
                    <pic:cNvPr id="0" name="picture"/>
                    <pic:cNvPicPr/>
                  </pic:nvPicPr>
                  <pic:blipFill>
                    <a:blip r:embed="Rb395f718f8dd4e16">
                      <a:extLst>
                        <a:ext xmlns:a="http://schemas.openxmlformats.org/drawingml/2006/main" uri="{28A0092B-C50C-407E-A947-70E740481C1C}">
                          <a14:useLocalDpi val="0"/>
                        </a:ext>
                      </a:extLst>
                    </a:blip>
                    <a:stretch>
                      <a:fillRect/>
                    </a:stretch>
                  </pic:blipFill>
                  <pic:spPr>
                    <a:xfrm>
                      <a:off x="0" y="0"/>
                      <a:ext cx="4737735" cy="2471080"/>
                    </a:xfrm>
                    <a:prstGeom prst="rect">
                      <a:avLst/>
                    </a:prstGeom>
                  </pic:spPr>
                </pic:pic>
              </a:graphicData>
            </a:graphic>
          </wp:inline>
        </w:drawing>
      </w:r>
    </w:p>
    <w:p w:rsidRPr="00451482" w:rsidR="00A116EB" w:rsidRDefault="00A116EB" w14:paraId="50D191D0" w14:textId="77777777">
      <w:pPr>
        <w:rPr>
          <w:rFonts w:asciiTheme="minorHAnsi" w:hAnsiTheme="minorHAnsi"/>
        </w:rPr>
      </w:pPr>
    </w:p>
    <w:p w:rsidRPr="00451482" w:rsidR="00A116EB" w:rsidRDefault="00330A98" w14:paraId="146C9C2D" w14:textId="77777777">
      <w:pPr>
        <w:rPr>
          <w:rFonts w:asciiTheme="minorHAnsi" w:hAnsiTheme="minorHAnsi"/>
        </w:rPr>
      </w:pPr>
      <w:r w:rsidRPr="00451482">
        <w:rPr>
          <w:rFonts w:asciiTheme="minorHAnsi" w:hAnsiTheme="minorHAnsi"/>
        </w:rPr>
        <w:br w:type="page"/>
      </w:r>
    </w:p>
    <w:p w:rsidRPr="00451482" w:rsidR="00A116EB" w:rsidRDefault="00330A98" w14:paraId="40AADC37" w14:textId="77777777" w14:noSpellErr="1">
      <w:pPr>
        <w:pStyle w:val="Heading3"/>
        <w:contextualSpacing w:val="0"/>
        <w:rPr>
          <w:rFonts w:asciiTheme="minorHAnsi" w:hAnsiTheme="minorHAnsi"/>
          <w:sz w:val="22"/>
          <w:szCs w:val="22"/>
        </w:rPr>
      </w:pPr>
      <w:bookmarkStart w:name="h.2207zecxzbw2" w:colFirst="0" w:colLast="0" w:id="12"/>
      <w:bookmarkStart w:name="h.j1als7ant89z" w:colFirst="0" w:colLast="0" w:id="13"/>
      <w:bookmarkEnd w:id="12"/>
      <w:bookmarkEnd w:id="13"/>
      <w:r w:rsidRPr="177ECB13">
        <w:rPr>
          <w:rFonts w:ascii="Calibri" w:hAnsi="Calibri" w:eastAsia="Calibri" w:cs="Calibri" w:asciiTheme="minorAscii" w:hAnsiTheme="minorAscii" w:eastAsiaTheme="minorAscii" w:cstheme="minorAscii"/>
          <w:sz w:val="22"/>
          <w:szCs w:val="22"/>
        </w:rPr>
        <w:lastRenderedPageBreak/>
        <w:t>Appendix:</w:t>
      </w:r>
    </w:p>
    <w:p w:rsidRPr="00451482" w:rsidR="00A116EB" w:rsidRDefault="00330A98" w14:paraId="3F2B6F33" w14:textId="77777777" w14:noSpellErr="1">
      <w:pPr>
        <w:pStyle w:val="Heading4"/>
        <w:contextualSpacing w:val="0"/>
        <w:rPr>
          <w:rFonts w:asciiTheme="minorHAnsi" w:hAnsiTheme="minorHAnsi"/>
          <w:sz w:val="22"/>
          <w:szCs w:val="22"/>
        </w:rPr>
      </w:pPr>
      <w:bookmarkStart w:name="h.9mi6c71vwlf0" w:colFirst="0" w:colLast="0" w:id="14"/>
      <w:bookmarkEnd w:id="14"/>
      <w:r w:rsidRPr="177ECB13">
        <w:rPr>
          <w:rFonts w:ascii="Calibri" w:hAnsi="Calibri" w:eastAsia="Calibri" w:cs="Calibri" w:asciiTheme="minorAscii" w:hAnsiTheme="minorAscii" w:eastAsiaTheme="minorAscii" w:cstheme="minorAscii"/>
          <w:sz w:val="22"/>
          <w:szCs w:val="22"/>
        </w:rPr>
        <w:t>Columns for each data source:</w:t>
      </w:r>
    </w:p>
    <w:p w:rsidRPr="00451482" w:rsidR="00A116EB" w:rsidRDefault="00330A98" w14:paraId="0C7744DD"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Life Expectancy Columns:</w:t>
      </w:r>
    </w:p>
    <w:p w:rsidRPr="00451482" w:rsidR="00A116EB" w:rsidRDefault="00330A98" w14:paraId="6D024758"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21A4FB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Both sexes</w:t>
      </w:r>
    </w:p>
    <w:p w:rsidRPr="00451482" w:rsidR="00A116EB" w:rsidRDefault="00330A98" w14:paraId="4C18880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Female</w:t>
      </w:r>
    </w:p>
    <w:p w:rsidRPr="00451482" w:rsidR="00A116EB" w:rsidRDefault="00330A98" w14:paraId="1058B72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birth (years); Male</w:t>
      </w:r>
    </w:p>
    <w:p w:rsidRPr="00451482" w:rsidR="00A116EB" w:rsidRDefault="00330A98" w14:paraId="06B2FD0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Both sexes</w:t>
      </w:r>
    </w:p>
    <w:p w:rsidRPr="00451482" w:rsidR="00A116EB" w:rsidRDefault="00330A98" w14:paraId="2894AEB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Female</w:t>
      </w:r>
    </w:p>
    <w:p w:rsidRPr="00451482" w:rsidR="00A116EB" w:rsidRDefault="00330A98" w14:paraId="6F8311D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Life expectancy at age 60 (years); Male</w:t>
      </w:r>
    </w:p>
    <w:p w:rsidRPr="00451482" w:rsidR="00A116EB" w:rsidRDefault="00330A98" w14:paraId="13E04F1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Both sexes</w:t>
      </w:r>
    </w:p>
    <w:p w:rsidRPr="00451482" w:rsidR="00A116EB" w:rsidRDefault="00330A98" w14:paraId="37CE1B5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Female</w:t>
      </w:r>
    </w:p>
    <w:p w:rsidRPr="00451482" w:rsidR="00A116EB" w:rsidRDefault="00330A98" w14:paraId="0002923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Healthy life expectancy (HALE) at birth (years); Male</w:t>
      </w:r>
    </w:p>
    <w:p w:rsidRPr="00451482" w:rsidR="00A116EB" w:rsidRDefault="00330A98" w14:paraId="014A9ED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69788502" w14:textId="77777777">
      <w:pPr>
        <w:rPr>
          <w:rFonts w:asciiTheme="minorHAnsi" w:hAnsiTheme="minorHAnsi"/>
        </w:rPr>
      </w:pPr>
    </w:p>
    <w:p w:rsidRPr="00451482" w:rsidR="00A116EB" w:rsidRDefault="00330A98" w14:paraId="49C79226"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Environmental Factors (Hygiene) Columns:</w:t>
      </w:r>
    </w:p>
    <w:p w:rsidRPr="00451482" w:rsidR="00A116EB" w:rsidRDefault="00330A98" w14:paraId="6C0A52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 Year</w:t>
      </w:r>
    </w:p>
    <w:p w:rsidRPr="00451482" w:rsidR="00A116EB" w:rsidRDefault="00330A98" w14:paraId="30BE9AB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(rural)</w:t>
      </w:r>
    </w:p>
    <w:p w:rsidRPr="00451482" w:rsidR="00A116EB" w:rsidRDefault="00330A98" w14:paraId="2CFCE7FB"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(urban)</w:t>
      </w:r>
    </w:p>
    <w:p w:rsidRPr="00451482" w:rsidR="00A116EB" w:rsidRDefault="00330A98" w14:paraId="358334D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Clean Drinking Water (total)</w:t>
      </w:r>
    </w:p>
    <w:p w:rsidRPr="00451482" w:rsidR="00A116EB" w:rsidRDefault="00330A98" w14:paraId="1AC852A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(rural)</w:t>
      </w:r>
    </w:p>
    <w:p w:rsidRPr="00451482" w:rsidR="00A116EB" w:rsidRDefault="00330A98" w14:paraId="5D348C3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(urban)</w:t>
      </w:r>
    </w:p>
    <w:p w:rsidRPr="00451482" w:rsidR="00A116EB" w:rsidRDefault="00330A98" w14:paraId="7EDDFA00"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Access to Improved Sanitation Facilities (total)</w:t>
      </w:r>
    </w:p>
    <w:p w:rsidRPr="00451482" w:rsidR="00A116EB" w:rsidRDefault="00330A98" w14:paraId="7AB8AA0E"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A116EB" w14:paraId="50F86B87" w14:textId="77777777">
      <w:pPr>
        <w:rPr>
          <w:rFonts w:asciiTheme="minorHAnsi" w:hAnsiTheme="minorHAnsi"/>
        </w:rPr>
      </w:pPr>
    </w:p>
    <w:p w:rsidRPr="00451482" w:rsidR="00A116EB" w:rsidRDefault="00330A98" w14:paraId="4CCA20C7"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HIV Columns:</w:t>
      </w:r>
    </w:p>
    <w:p w:rsidRPr="00451482" w:rsidR="00A116EB" w:rsidRDefault="00330A98" w14:paraId="339E7C0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780DB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2001</w:t>
      </w:r>
    </w:p>
    <w:p w:rsidRPr="00451482" w:rsidR="00A116EB" w:rsidRDefault="00330A98" w14:paraId="170692E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2005</w:t>
      </w:r>
    </w:p>
    <w:p w:rsidRPr="00451482" w:rsidR="00A116EB" w:rsidRDefault="00330A98" w14:paraId="16CC7396"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2009</w:t>
      </w:r>
    </w:p>
    <w:p w:rsidRPr="00451482" w:rsidR="00A116EB" w:rsidRDefault="00330A98" w14:paraId="0FC246E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 xml:space="preserve"> HIV prevalence 2013</w:t>
      </w:r>
    </w:p>
    <w:p w:rsidRPr="00451482" w:rsidR="00A116EB" w:rsidRDefault="00A116EB" w14:paraId="71F68334" w14:textId="77777777">
      <w:pPr>
        <w:rPr>
          <w:rFonts w:asciiTheme="minorHAnsi" w:hAnsiTheme="minorHAnsi"/>
        </w:rPr>
      </w:pPr>
    </w:p>
    <w:p w:rsidRPr="00451482" w:rsidR="00A116EB" w:rsidRDefault="00330A98" w14:paraId="3CB8E098"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rPr>
        <w:t>Healthcare Services (applicable) Columns:</w:t>
      </w:r>
    </w:p>
    <w:p w:rsidRPr="00451482" w:rsidR="00A116EB" w:rsidRDefault="00330A98" w14:paraId="1492C73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Country</w:t>
      </w:r>
    </w:p>
    <w:p w:rsidRPr="00451482" w:rsidR="00A116EB" w:rsidRDefault="00330A98" w14:paraId="1026B599"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2013</w:t>
      </w:r>
    </w:p>
    <w:p w:rsidRPr="00451482" w:rsidR="00A116EB" w:rsidRDefault="00330A98" w14:paraId="5C02CC5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2013</w:t>
      </w:r>
    </w:p>
    <w:p w:rsidRPr="00451482" w:rsidR="00A116EB" w:rsidRDefault="00330A98" w14:paraId="26253807"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2013</w:t>
      </w:r>
    </w:p>
    <w:p w:rsidRPr="00451482" w:rsidR="00A116EB" w:rsidRDefault="00330A98" w14:paraId="678F58C1"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2013</w:t>
      </w:r>
    </w:p>
    <w:p w:rsidRPr="00451482" w:rsidR="00A116EB" w:rsidRDefault="00330A98" w14:paraId="5503A7F2"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2012</w:t>
      </w:r>
    </w:p>
    <w:p w:rsidRPr="00451482" w:rsidR="00A116EB" w:rsidRDefault="00330A98" w14:paraId="4D1853E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2012</w:t>
      </w:r>
    </w:p>
    <w:p w:rsidRPr="00451482" w:rsidR="00A116EB" w:rsidRDefault="00330A98" w14:paraId="7FFE2ECC"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2012</w:t>
      </w:r>
    </w:p>
    <w:p w:rsidRPr="00451482" w:rsidR="00A116EB" w:rsidRDefault="00330A98" w14:paraId="1C6C4A8F"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2012</w:t>
      </w:r>
    </w:p>
    <w:p w:rsidRPr="00451482" w:rsidR="00A116EB" w:rsidRDefault="00330A98" w14:paraId="6487085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Total expenditure on health as a percentage of gross domestic product 2000</w:t>
      </w:r>
    </w:p>
    <w:p w:rsidRPr="00451482" w:rsidR="00A116EB" w:rsidRDefault="00330A98" w14:paraId="18D102CA"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General government expenditure on health as a percentage of total expenditure on health 2000</w:t>
      </w:r>
    </w:p>
    <w:p w:rsidRPr="00451482" w:rsidR="00A116EB" w:rsidRDefault="00330A98" w14:paraId="60800D9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Private expenditure on health as a percentage of total expenditure on health 2000</w:t>
      </w:r>
    </w:p>
    <w:p w:rsidRPr="00451482" w:rsidR="00A116EB" w:rsidRDefault="00330A98" w14:paraId="591E456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rPr>
        <w:t>Out-of-pocket expenditure as a percentage of total expenditure on health 2000</w:t>
      </w:r>
    </w:p>
    <w:p w:rsidRPr="00451482" w:rsidR="00A116EB" w:rsidRDefault="00A116EB" w14:paraId="17FB1B75" w14:textId="77777777">
      <w:pPr>
        <w:rPr>
          <w:rFonts w:asciiTheme="minorHAnsi" w:hAnsiTheme="minorHAnsi"/>
        </w:rPr>
      </w:pPr>
    </w:p>
    <w:p w:rsidRPr="00451482" w:rsidR="00A116EB" w:rsidRDefault="00330A98" w14:paraId="4A125BCA" w14:textId="77777777" w14:noSpellErr="1">
      <w:pPr>
        <w:spacing w:before="280"/>
        <w:rPr>
          <w:rFonts w:asciiTheme="minorHAnsi" w:hAnsiTheme="minorHAnsi"/>
        </w:rPr>
      </w:pPr>
      <w:r w:rsidRPr="177ECB13" w:rsidR="177ECB13">
        <w:rPr>
          <w:rFonts w:ascii="Calibri" w:hAnsi="Calibri" w:eastAsia="Calibri" w:cs="Calibri" w:asciiTheme="minorAscii" w:hAnsiTheme="minorAscii" w:eastAsiaTheme="minorAscii" w:cstheme="minorAscii"/>
        </w:rPr>
        <w:t>Aid – Commitments and Disbursement Columns:</w:t>
      </w:r>
    </w:p>
    <w:p w:rsidRPr="00451482" w:rsidR="00A116EB" w:rsidRDefault="00330A98" w14:paraId="0435F81D"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Country; Year</w:t>
      </w:r>
    </w:p>
    <w:p w:rsidRPr="00451482" w:rsidR="00A116EB" w:rsidRDefault="00330A98" w14:paraId="5E0EFA55"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Commitments to recipient countries (Million, constant 2009 US$</w:t>
      </w:r>
    </w:p>
    <w:p w:rsidRPr="00451482" w:rsidR="00A116EB" w:rsidRDefault="00330A98" w14:paraId="7C115244" w14:textId="77777777" w14:noSpellErr="1">
      <w:pPr>
        <w:ind w:left="720"/>
        <w:rPr>
          <w:rFonts w:asciiTheme="minorHAnsi" w:hAnsiTheme="minorHAnsi"/>
        </w:rPr>
      </w:pPr>
      <w:r w:rsidRPr="177ECB13" w:rsidR="177ECB13">
        <w:rPr>
          <w:rFonts w:ascii="Calibri" w:hAnsi="Calibri" w:eastAsia="Calibri" w:cs="Calibri" w:asciiTheme="minorAscii" w:hAnsiTheme="minorAscii" w:eastAsiaTheme="minorAscii" w:cstheme="minorAscii"/>
          <w:highlight w:val="white"/>
        </w:rPr>
        <w:t>Disbursements to recipient countries (Million, constant 2009 US$</w:t>
      </w:r>
    </w:p>
    <w:p w:rsidRPr="00451482" w:rsidR="00A116EB" w:rsidRDefault="00330A98" w14:paraId="03E486CC" w14:textId="77777777" w14:noSpellErr="1">
      <w:pPr>
        <w:rPr>
          <w:rFonts w:asciiTheme="minorHAnsi" w:hAnsiTheme="minorHAnsi"/>
        </w:rPr>
      </w:pPr>
      <w:r w:rsidRPr="177ECB13" w:rsidR="177ECB13">
        <w:rPr>
          <w:rFonts w:ascii="Calibri" w:hAnsi="Calibri" w:eastAsia="Calibri" w:cs="Calibri" w:asciiTheme="minorAscii" w:hAnsiTheme="minorAscii" w:eastAsiaTheme="minorAscii" w:cstheme="minorAscii"/>
          <w:i w:val="1"/>
          <w:iCs w:val="1"/>
        </w:rPr>
        <w:t>Initial manipulation: The first column naturally splits into 2 separate columns, one for Country and Year.</w:t>
      </w:r>
    </w:p>
    <w:p w:rsidRPr="00451482" w:rsidR="00A116EB" w:rsidRDefault="00330A98" w14:paraId="5170EC3F" w14:textId="77777777">
      <w:pPr>
        <w:rPr>
          <w:rFonts w:asciiTheme="minorHAnsi" w:hAnsiTheme="minorHAnsi"/>
        </w:rPr>
      </w:pPr>
      <w:r w:rsidRPr="00451482">
        <w:rPr>
          <w:rFonts w:eastAsia="Calibri" w:cs="Calibri" w:asciiTheme="minorHAnsi" w:hAnsiTheme="minorHAnsi"/>
          <w:highlight w:val="white"/>
        </w:rPr>
        <w:t xml:space="preserve"> </w:t>
      </w:r>
    </w:p>
    <w:sectPr w:rsidRPr="00451482" w:rsidR="00A116EB" w:rsidSect="00451482">
      <w:headerReference w:type="default" r:id="rId21"/>
      <w:footerReference w:type="default" r:id="rId22"/>
      <w:pgSz w:w="12240" w:h="15840" w:orient="portrait"/>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BE3" w:rsidP="00451482" w:rsidRDefault="00307BE3" w14:paraId="6204A66B" w14:textId="77777777">
      <w:pPr>
        <w:spacing w:line="240" w:lineRule="auto"/>
      </w:pPr>
      <w:r>
        <w:separator/>
      </w:r>
    </w:p>
  </w:endnote>
  <w:endnote w:type="continuationSeparator" w:id="0">
    <w:p w:rsidR="00307BE3" w:rsidP="00451482" w:rsidRDefault="00307BE3" w14:paraId="7C32CA1D" w14:textId="77777777">
      <w:pPr>
        <w:spacing w:line="240" w:lineRule="auto"/>
      </w:pPr>
      <w:r>
        <w:continuationSeparator/>
      </w:r>
    </w:p>
  </w:endnote>
  <w:endnote w:type="continuationNotice" w:id="1">
    <w:p w:rsidR="004E779C" w:rsidRDefault="004E779C" w14:paraId="5762BB1A"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02450"/>
      <w:docPartObj>
        <w:docPartGallery w:val="Page Numbers (Bottom of Page)"/>
        <w:docPartUnique/>
      </w:docPartObj>
    </w:sdtPr>
    <w:sdtEndPr>
      <w:rPr>
        <w:rFonts w:asciiTheme="minorHAnsi" w:hAnsiTheme="minorHAnsi"/>
        <w:color w:val="808080" w:themeColor="background1" w:themeShade="80"/>
        <w:spacing w:val="60"/>
      </w:rPr>
    </w:sdtEndPr>
    <w:sdtContent>
      <w:p w:rsidRPr="00451482" w:rsidR="00307BE3" w:rsidP="00451482" w:rsidRDefault="00307BE3" w14:paraId="63765004" w14:textId="77777777">
        <w:pPr>
          <w:pStyle w:val="Footer"/>
          <w:pBdr>
            <w:top w:val="single" w:color="D9D9D9" w:themeColor="background1" w:themeShade="D9" w:sz="4" w:space="1"/>
          </w:pBdr>
          <w:jc w:val="right"/>
          <w:rPr>
            <w:rFonts w:asciiTheme="minorHAnsi" w:hAnsiTheme="minorHAnsi"/>
            <w:b/>
            <w:bCs/>
          </w:rPr>
        </w:pPr>
        <w:r w:rsidRPr="00451482">
          <w:rPr>
            <w:rFonts w:asciiTheme="minorHAnsi" w:hAnsiTheme="minorHAnsi"/>
          </w:rPr>
          <w:fldChar w:fldCharType="begin"/>
        </w:r>
        <w:r w:rsidRPr="00451482">
          <w:rPr>
            <w:rFonts w:asciiTheme="minorHAnsi" w:hAnsiTheme="minorHAnsi"/>
          </w:rPr>
          <w:instrText xml:space="preserve"> PAGE   \* MERGEFORMAT </w:instrText>
        </w:r>
        <w:r w:rsidRPr="00451482">
          <w:rPr>
            <w:rFonts w:asciiTheme="minorHAnsi" w:hAnsiTheme="minorHAnsi"/>
          </w:rPr>
          <w:fldChar w:fldCharType="separate"/>
        </w:r>
        <w:r w:rsidRPr="004E779C" w:rsidR="004E779C">
          <w:rPr>
            <w:rFonts w:asciiTheme="minorHAnsi" w:hAnsiTheme="minorHAnsi"/>
            <w:b/>
            <w:bCs/>
            <w:noProof/>
          </w:rPr>
          <w:t>2</w:t>
        </w:r>
        <w:r w:rsidRPr="00451482">
          <w:rPr>
            <w:rFonts w:asciiTheme="minorHAnsi" w:hAnsiTheme="minorHAnsi"/>
            <w:b/>
            <w:bCs/>
            <w:noProof/>
          </w:rPr>
          <w:fldChar w:fldCharType="end"/>
        </w:r>
        <w:r w:rsidRPr="00451482">
          <w:rPr>
            <w:rFonts w:asciiTheme="minorHAnsi" w:hAnsiTheme="minorHAnsi"/>
            <w:b/>
            <w:bCs/>
          </w:rPr>
          <w:t xml:space="preserve"> | </w:t>
        </w:r>
        <w:r w:rsidRPr="00451482">
          <w:rPr>
            <w:rFonts w:asciiTheme="minorHAnsi" w:hAnsiTheme="minorHAnsi"/>
            <w:color w:val="808080" w:themeColor="background1" w:themeShade="80"/>
            <w:spacing w:val="60"/>
          </w:rPr>
          <w:t>Page</w:t>
        </w:r>
      </w:p>
    </w:sdtContent>
  </w:sdt>
  <w:p w:rsidR="00307BE3" w:rsidP="00451482" w:rsidRDefault="00307BE3" w14:paraId="404D7532" w14:textId="7777777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BE3" w:rsidP="00451482" w:rsidRDefault="00307BE3" w14:paraId="657E9733" w14:textId="77777777">
      <w:pPr>
        <w:spacing w:line="240" w:lineRule="auto"/>
      </w:pPr>
      <w:r>
        <w:separator/>
      </w:r>
    </w:p>
  </w:footnote>
  <w:footnote w:type="continuationSeparator" w:id="0">
    <w:p w:rsidR="00307BE3" w:rsidP="00451482" w:rsidRDefault="00307BE3" w14:paraId="4CACEAF9" w14:textId="77777777">
      <w:pPr>
        <w:spacing w:line="240" w:lineRule="auto"/>
      </w:pPr>
      <w:r>
        <w:continuationSeparator/>
      </w:r>
    </w:p>
  </w:footnote>
  <w:footnote w:type="continuationNotice" w:id="1">
    <w:p w:rsidR="004E779C" w:rsidRDefault="004E779C" w14:paraId="3D09FDF2" w14:textId="77777777">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451482" w:rsidR="00307BE3" w:rsidP="00451482" w:rsidRDefault="00307BE3" w14:paraId="54DADADA" w14:textId="77777777">
    <w:pPr>
      <w:jc w:val="center"/>
      <w:rPr>
        <w:rFonts w:eastAsia="Calibri" w:cs="Calibri" w:asciiTheme="minorHAnsi" w:hAnsiTheme="minorHAnsi"/>
      </w:rPr>
    </w:pPr>
    <w:r>
      <w:rPr>
        <w:rFonts w:ascii="Calibri" w:hAnsi="Calibri" w:eastAsia="Calibri" w:cs="Calibri"/>
        <w:noProof/>
      </w:rPr>
      <mc:AlternateContent>
        <mc:Choice Requires="wps">
          <w:drawing>
            <wp:anchor distT="0" distB="0" distL="114300" distR="114300" simplePos="0" relativeHeight="251658240" behindDoc="0" locked="0" layoutInCell="1" allowOverlap="1" wp14:anchorId="6B024B98" wp14:editId="521AFBEE">
              <wp:simplePos x="0" y="0"/>
              <wp:positionH relativeFrom="column">
                <wp:posOffset>-304800</wp:posOffset>
              </wp:positionH>
              <wp:positionV relativeFrom="paragraph">
                <wp:posOffset>332105</wp:posOffset>
              </wp:positionV>
              <wp:extent cx="7581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7581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6775226">
            <v:line id="Straight Connector 4"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24pt,26.15pt" to="573pt,27.65pt" w14:anchorId="6363A03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"/>
          </w:pict>
        </mc:Fallback>
      </mc:AlternateContent>
    </w:r>
    <w:r w:rsidRPr="177ECB13">
      <w:rPr>
        <w:rFonts w:ascii="Calibri,Helvetica" w:hAnsi="Calibri,Helvetica" w:eastAsia="Calibri,Helvetica" w:cs="Calibri,Helvetica" w:asciiTheme="minorAscii" w:hAnsiTheme="minorAscii" w:eastAsiaTheme="minorAscii" w:cstheme="minorAscii"/>
        <w:b w:val="1"/>
        <w:bCs w:val="1"/>
        <w:sz w:val="39"/>
        <w:szCs w:val="39"/>
        <w:shd w:val="clear" w:color="auto" w:fill="FFFFFF"/>
      </w:rPr>
      <w:t xml:space="preserve">Exploring Life Expectancy, </w:t>
    </w:r>
    <w:proofErr w:type="spellStart"/>
    <w:r w:rsidRPr="177ECB13">
      <w:rPr>
        <w:rFonts w:ascii="Calibri,Helvetica" w:hAnsi="Calibri,Helvetica" w:eastAsia="Calibri,Helvetica" w:cs="Calibri,Helvetica" w:asciiTheme="minorAscii" w:hAnsiTheme="minorAscii" w:eastAsiaTheme="minorAscii" w:cstheme="minorAscii"/>
        <w:b w:val="1"/>
        <w:bCs w:val="1"/>
        <w:sz w:val="39"/>
        <w:szCs w:val="39"/>
        <w:shd w:val="clear" w:color="auto" w:fill="FFFFFF"/>
      </w:rPr>
      <w:t>Aid</w:t>
    </w:r>
    <w:proofErr w:type="spellEnd"/>
    <w:r w:rsidRPr="177ECB13">
      <w:rPr>
        <w:rFonts w:ascii="Calibri,Helvetica" w:hAnsi="Calibri,Helvetica" w:eastAsia="Calibri,Helvetica" w:cs="Calibri,Helvetica" w:asciiTheme="minorAscii" w:hAnsiTheme="minorAscii" w:eastAsiaTheme="minorAscii" w:cstheme="minorAscii"/>
        <w:b w:val="1"/>
        <w:bCs w:val="1"/>
        <w:sz w:val="39"/>
        <w:szCs w:val="39"/>
        <w:shd w:val="clear" w:color="auto" w:fill="FFFFFF"/>
      </w:rPr>
      <w:t>, Health Services, and Access</w:t>
    </w:r>
  </w:p>
  <w:p w:rsidR="00307BE3" w:rsidRDefault="00307BE3" w14:paraId="187A0BFD"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8A1"/>
    <w:multiLevelType w:val="multilevel"/>
    <w:tmpl w:val="7D3627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9B7311"/>
    <w:multiLevelType w:val="hybridMultilevel"/>
    <w:tmpl w:val="3AEE265C"/>
    <w:lvl w:ilvl="0" w:tplc="5726C050">
      <w:start w:val="1"/>
      <w:numFmt w:val="bullet"/>
      <w:lvlText w:val=""/>
      <w:lvlJc w:val="left"/>
      <w:pPr>
        <w:ind w:left="720" w:hanging="360"/>
      </w:pPr>
      <w:rPr>
        <w:rFonts w:hint="default" w:ascii="Wingdings" w:hAnsi="Wingdings"/>
        <w:color w:val="1F497D"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79EA5E1A"/>
    <w:multiLevelType w:val="multilevel"/>
    <w:tmpl w:val="CA0005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A116EB"/>
    <w:rsid w:val="00037D43"/>
    <w:rsid w:val="00127A50"/>
    <w:rsid w:val="00145982"/>
    <w:rsid w:val="00195D93"/>
    <w:rsid w:val="00307BE3"/>
    <w:rsid w:val="00330A98"/>
    <w:rsid w:val="003B7374"/>
    <w:rsid w:val="00421EA5"/>
    <w:rsid w:val="00451482"/>
    <w:rsid w:val="00470ED0"/>
    <w:rsid w:val="004E779C"/>
    <w:rsid w:val="0073001B"/>
    <w:rsid w:val="009740A0"/>
    <w:rsid w:val="00A116EB"/>
    <w:rsid w:val="00B87313"/>
    <w:rsid w:val="00BA2610"/>
    <w:rsid w:val="00E67D0C"/>
    <w:rsid w:val="00F52836"/>
    <w:rsid w:val="00F67A4D"/>
    <w:rsid w:val="177ECB13"/>
    <w:rsid w:val="1B9B5D70"/>
    <w:rsid w:val="3A6F8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71A3B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51482"/>
    <w:pPr>
      <w:tabs>
        <w:tab w:val="center" w:pos="4680"/>
        <w:tab w:val="right" w:pos="9360"/>
      </w:tabs>
      <w:spacing w:line="240" w:lineRule="auto"/>
    </w:pPr>
  </w:style>
  <w:style w:type="character" w:styleId="HeaderChar" w:customStyle="1">
    <w:name w:val="Header Char"/>
    <w:basedOn w:val="DefaultParagraphFont"/>
    <w:link w:val="Header"/>
    <w:uiPriority w:val="99"/>
    <w:rsid w:val="00451482"/>
  </w:style>
  <w:style w:type="paragraph" w:styleId="Footer">
    <w:name w:val="footer"/>
    <w:basedOn w:val="Normal"/>
    <w:link w:val="FooterChar"/>
    <w:uiPriority w:val="99"/>
    <w:unhideWhenUsed/>
    <w:rsid w:val="00451482"/>
    <w:pPr>
      <w:tabs>
        <w:tab w:val="center" w:pos="4680"/>
        <w:tab w:val="right" w:pos="9360"/>
      </w:tabs>
      <w:spacing w:line="240" w:lineRule="auto"/>
    </w:pPr>
  </w:style>
  <w:style w:type="character" w:styleId="FooterChar" w:customStyle="1">
    <w:name w:val="Footer Char"/>
    <w:basedOn w:val="DefaultParagraphFont"/>
    <w:link w:val="Footer"/>
    <w:uiPriority w:val="99"/>
    <w:rsid w:val="00451482"/>
  </w:style>
  <w:style w:type="paragraph" w:styleId="BalloonText">
    <w:name w:val="Balloon Text"/>
    <w:basedOn w:val="Normal"/>
    <w:link w:val="BalloonTextChar"/>
    <w:uiPriority w:val="99"/>
    <w:semiHidden/>
    <w:unhideWhenUsed/>
    <w:rsid w:val="0045148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1482"/>
    <w:rPr>
      <w:rFonts w:ascii="Tahoma" w:hAnsi="Tahoma" w:cs="Tahoma"/>
      <w:sz w:val="16"/>
      <w:szCs w:val="16"/>
    </w:rPr>
  </w:style>
  <w:style w:type="paragraph" w:styleId="MainHeading" w:customStyle="1">
    <w:name w:val="Main Heading"/>
    <w:basedOn w:val="Heading3"/>
    <w:link w:val="MainHeadingChar"/>
    <w:qFormat/>
    <w:rsid w:val="00451482"/>
    <w:pPr>
      <w:keepNext w:val="0"/>
      <w:keepLines w:val="0"/>
      <w:contextualSpacing w:val="0"/>
    </w:pPr>
    <w:rPr>
      <w:rFonts w:asciiTheme="minorHAnsi" w:hAnsiTheme="minorHAnsi"/>
      <w:b/>
      <w:color w:val="1F497D" w:themeColor="text2"/>
      <w:sz w:val="36"/>
      <w:szCs w:val="36"/>
    </w:rPr>
  </w:style>
  <w:style w:type="character" w:styleId="Hyperlink">
    <w:name w:val="Hyperlink"/>
    <w:basedOn w:val="DefaultParagraphFont"/>
    <w:uiPriority w:val="99"/>
    <w:semiHidden/>
    <w:unhideWhenUsed/>
    <w:rsid w:val="00F52836"/>
    <w:rPr>
      <w:color w:val="0000FF"/>
      <w:u w:val="single"/>
    </w:rPr>
  </w:style>
  <w:style w:type="character" w:styleId="Heading3Char" w:customStyle="1">
    <w:name w:val="Heading 3 Char"/>
    <w:basedOn w:val="DefaultParagraphFont"/>
    <w:link w:val="Heading3"/>
    <w:rsid w:val="00451482"/>
    <w:rPr>
      <w:color w:val="434343"/>
      <w:sz w:val="28"/>
      <w:szCs w:val="28"/>
    </w:rPr>
  </w:style>
  <w:style w:type="character" w:styleId="MainHeadingChar" w:customStyle="1">
    <w:name w:val="Main Heading Char"/>
    <w:basedOn w:val="Heading3Char"/>
    <w:link w:val="MainHeading"/>
    <w:rsid w:val="00451482"/>
    <w:rPr>
      <w:rFonts w:asciiTheme="minorHAnsi" w:hAnsiTheme="minorHAnsi"/>
      <w:b/>
      <w:color w:val="1F497D" w:themeColor="text2"/>
      <w:sz w:val="36"/>
      <w:szCs w:val="36"/>
    </w:rPr>
  </w:style>
  <w:style w:type="paragraph" w:styleId="Body" w:customStyle="1">
    <w:name w:val="Body"/>
    <w:basedOn w:val="Normal"/>
    <w:link w:val="BodyChar"/>
    <w:qFormat/>
    <w:rsid w:val="00F52836"/>
    <w:pPr>
      <w:spacing w:line="240" w:lineRule="auto"/>
    </w:pPr>
    <w:rPr>
      <w:rFonts w:eastAsia="Calibri" w:cs="Calibri" w:asciiTheme="minorHAnsi" w:hAnsiTheme="minorHAnsi"/>
      <w:color w:val="222222"/>
    </w:rPr>
  </w:style>
  <w:style w:type="character" w:styleId="BodyChar" w:customStyle="1">
    <w:name w:val="Body Char"/>
    <w:basedOn w:val="DefaultParagraphFont"/>
    <w:link w:val="Body"/>
    <w:rsid w:val="00F52836"/>
    <w:rPr>
      <w:rFonts w:eastAsia="Calibri" w:cs="Calibri" w:asciiTheme="minorHAnsi" w:hAnsiTheme="minorHAnsi"/>
      <w:color w:val="2222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0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openxmlformats.org/officeDocument/2006/relationships/header" Target="header1.xml" Id="rId21" /><Relationship Type="http://schemas.openxmlformats.org/officeDocument/2006/relationships/footer" Target="footer1.xml" Id="rId22" /><Relationship Type="http://schemas.openxmlformats.org/officeDocument/2006/relationships/fontTable" Target="fontTable.xml" Id="rId23" /><Relationship Type="http://schemas.openxmlformats.org/officeDocument/2006/relationships/theme" Target="theme/theme1.xml" Id="rId24"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a.png" Id="R6a7dbaedbf894a1f" /><Relationship Type="http://schemas.openxmlformats.org/officeDocument/2006/relationships/image" Target="/media/imageb.png" Id="Raa3236ac2b534d8b" /><Relationship Type="http://schemas.openxmlformats.org/officeDocument/2006/relationships/image" Target="/media/imagec.png" Id="R66763aa2cfb44aba" /><Relationship Type="http://schemas.openxmlformats.org/officeDocument/2006/relationships/image" Target="/media/imaged.png" Id="Rb958988ed810400f" /><Relationship Type="http://schemas.openxmlformats.org/officeDocument/2006/relationships/image" Target="/media/imagee.png" Id="R88fc99d4b88649d8" /><Relationship Type="http://schemas.openxmlformats.org/officeDocument/2006/relationships/image" Target="/media/imagef.png" Id="Rb395f718f8dd4e16" /><Relationship Type="http://schemas.openxmlformats.org/officeDocument/2006/relationships/image" Target="/media/image7.png" Id="R1f0e571ccb3d4b26" /><Relationship Type="http://schemas.openxmlformats.org/officeDocument/2006/relationships/image" Target="/media/image8.png" Id="Rfd7baa101f874cca" /><Relationship Type="http://schemas.openxmlformats.org/officeDocument/2006/relationships/image" Target="/media/image9.png" Id="R0edc9c5ee139462c" /><Relationship Type="http://schemas.openxmlformats.org/officeDocument/2006/relationships/image" Target="/media/image10.png" Id="R467850c24df64648" /><Relationship Type="http://schemas.openxmlformats.org/officeDocument/2006/relationships/image" Target="/media/image11.png" Id="R375160f35f47471e" /><Relationship Type="http://schemas.openxmlformats.org/officeDocument/2006/relationships/image" Target="/media/image12.png" Id="R68cd4f77f68c41d0" /><Relationship Type="http://schemas.openxmlformats.org/officeDocument/2006/relationships/image" Target="/media/image13.png" Id="Rc538834d8b42441a" /><Relationship Type="http://schemas.openxmlformats.org/officeDocument/2006/relationships/image" Target="/media/image14.png" Id="Rb159e86036354a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CE5EF-332A-634C-A912-AC5037BBB0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BravoSolution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POPE Andrea</dc:creator>
  <lastModifiedBy>Andrea Pope</lastModifiedBy>
  <revision>12</revision>
  <dcterms:created xsi:type="dcterms:W3CDTF">2016-04-12T04:38:00.0000000Z</dcterms:created>
  <dcterms:modified xsi:type="dcterms:W3CDTF">2016-04-25T05:17:09.0317111Z</dcterms:modified>
</coreProperties>
</file>