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8jekvyrvpky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Упр2. - Создание суррогатного ключа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4162425</wp:posOffset>
            </wp:positionH>
            <wp:positionV relativeFrom="paragraph">
              <wp:posOffset>114300</wp:posOffset>
            </wp:positionV>
            <wp:extent cx="2847975" cy="3495675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495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 чем суть: Создайте новый столбец в вашей таблице и заполните его уникальными значениями, которые будут служить суррогатным первичным ключом.</w:t>
      </w:r>
    </w:p>
    <w:p w:rsidR="00000000" w:rsidDel="00000000" w:rsidP="00000000" w:rsidRDefault="00000000" w:rsidRPr="00000000" w14:paraId="00000003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создадим таблицу одноклассников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Как это сделать: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60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-В Power Query используйте функцию Add Index Column, чтобы добавить столбец с порядковым номером для каждой строки. Или используйте функцию Hash (например, Hash.Combine) в Power Query, чтобы сгенерировать уникальные значения на основе комбинации значений в составном ключе.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-219074</wp:posOffset>
            </wp:positionH>
            <wp:positionV relativeFrom="paragraph">
              <wp:posOffset>123825</wp:posOffset>
            </wp:positionV>
            <wp:extent cx="4917713" cy="2009564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7713" cy="20095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3445237</wp:posOffset>
            </wp:positionH>
            <wp:positionV relativeFrom="paragraph">
              <wp:posOffset>2057771</wp:posOffset>
            </wp:positionV>
            <wp:extent cx="4031888" cy="2619004"/>
            <wp:effectExtent b="0" l="0" r="0" t="0"/>
            <wp:wrapSquare wrapText="bothSides" distB="114300" distT="114300" distL="114300" distR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1888" cy="26190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141.73228346456688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3064238" cy="1612757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4238" cy="1612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600" w:hanging="458.2677165354331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600" w:hanging="458.2677165354331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600" w:hanging="458.2677165354331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600" w:hanging="458.2677165354331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60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60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-Пример: Если ваш составной ключ состоит из столбцов "Имя" и "Дата рождения", вы можете создать новый столбец "ID" и заполнить его уникальными значениями, сгенерированными на основе комбинации этих двух столбцов.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60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0" w:firstLine="0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</w:rPr>
        <w:drawing>
          <wp:inline distB="114300" distT="114300" distL="114300" distR="114300">
            <wp:extent cx="6840000" cy="4521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60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60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-Преимущества: Простота реализации. Улучшение производительности по сравнению с использованием составных ключей.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60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-Недостатки: Потеря семантического значения ключа (суррогатный ключ не несет смысловой нагрузки).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3365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