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zba692rxfhy9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Формирование дашборда с использованием ключевых показателей (KPI)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Определение целевой аудитории и целей дашборда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Определение целевой аудитории и целей дашборда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Выбор визуализаций для KPI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Структура и дизайн дашборда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Тестирование и обратная связь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59qaczif55ac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Дашборд с использованием KPI для отдела продаж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Название дашборда: Обзор продаж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Целевая аудитория: Руководитель отдела продаж, менеджеры по продажам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KPI: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Общий объем продаж: Отображается на карточке с использованием большой и жирной гарнитуры.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 Количество сделок: Отображается на карточке рядом с общим объемом продаж.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Средний чек: Отображается на карточке под объемом продаж.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 Конверсия: Отображается на карточке рядом со средним чеком.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 Динамика продаж: Отображается на линейном графике, который показывает объем продаж по месяцам.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 План-фактный анализ продаж: Отображается на диаграмме-индикаторе, которая сравнивает текущий</w:t>
        <w:br w:type="textWrapping"/>
        <w:t xml:space="preserve">объем продаж с плановым.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 Объем продаж по регионам: Отображается на карте, где каждый регион закрашен в зависимости от объема продаж.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Интерактивность: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Фильтры по периоду времени, региону, продукту.</w:t>
        <w:br w:type="textWrapping"/>
        <w:t xml:space="preserve">- Возможность перехода к детальным отчетам по каждому KPI.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64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62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81700" cy="6286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412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407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