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pPr>
      <w:r>
        <w:rPr>
          <w:rFonts w:ascii="Arial" w:hAnsi="Arial"/>
          <w:b w:val="0"/>
          <w:color w:val="646464"/>
          <w:sz w:val="18"/>
        </w:rPr>
        <w:t>Competitive Analysis &amp; Product Strategy</w:t>
      </w:r>
    </w:p>
    <w:p>
      <w:pPr>
        <w:spacing w:before="80" w:after="80"/>
      </w:pPr>
      <w:r>
        <w:rPr>
          <w:rFonts w:ascii="Arial" w:hAnsi="Arial"/>
          <w:b/>
          <w:color w:val="143C8C"/>
          <w:sz w:val="52"/>
        </w:rPr>
        <w:t>ATS Platform</w:t>
      </w:r>
    </w:p>
    <w:p>
      <w:pPr>
        <w:spacing w:before="0" w:after="320"/>
      </w:pPr>
      <w:r>
        <w:rPr>
          <w:rFonts w:ascii="Arial" w:hAnsi="Arial"/>
          <w:b w:val="0"/>
          <w:color w:val="3C64B4"/>
          <w:sz w:val="24"/>
        </w:rPr>
        <w:t>Benchmarking Loxo · Crelate · Bullhorn — Identifying the White Space</w:t>
      </w:r>
    </w:p>
    <w:p>
      <w:pPr>
        <w:spacing w:before="80" w:after="80"/>
        <w:pBdr>
          <w:bottom w:val="single" w:sz="4" w:space="1" w:color="CCCCCC"/>
        </w:pBdr>
      </w:pPr>
    </w:p>
    <w:p>
      <w:pPr>
        <w:spacing w:before="120" w:after="120"/>
        <w:ind w:left="288" w:right="288"/>
        <w:shd w:val="clear" w:color="auto" w:fill="EBF3FB"/>
      </w:pPr>
      <w:r>
        <w:rPr>
          <w:rFonts w:ascii="Arial" w:hAnsi="Arial"/>
          <w:b/>
          <w:color w:val="1E50A0"/>
          <w:sz w:val="20"/>
        </w:rPr>
        <w:t xml:space="preserve">Strategic Intent:  </w:t>
      </w:r>
      <w:r>
        <w:rPr>
          <w:rFonts w:ascii="Arial" w:hAnsi="Arial"/>
          <w:b w:val="0"/>
          <w:sz w:val="20"/>
        </w:rPr>
        <w:t>You are building a next-generation ATS purpose-built for agency recruiting — one that wins on data richness, workflow depth, and an industry-first client collaboration layer that the Big Three handle poorly or not at all.</w:t>
      </w:r>
    </w:p>
    <w:p/>
    <w:p>
      <w:pPr>
        <w:spacing w:before="280" w:after="80"/>
      </w:pPr>
      <w:r>
        <w:rPr>
          <w:rFonts w:ascii="Arial" w:hAnsi="Arial"/>
          <w:b/>
          <w:color w:val="1E50A0"/>
          <w:sz w:val="32"/>
        </w:rPr>
        <w:t>1. Competitive Landscape Overview</w:t>
      </w:r>
    </w:p>
    <w:p>
      <w:pPr>
        <w:spacing w:before="0" w:after="80"/>
      </w:pPr>
      <w:r>
        <w:rPr>
          <w:rFonts w:ascii="Arial" w:hAnsi="Arial"/>
          <w:b w:val="0"/>
          <w:sz w:val="20"/>
        </w:rPr>
        <w:t>The agency recruiting software market is dominated by three platforms that each occupy a distinct position: Loxo (AI-first, all-in-one), Crelate (mid-market, workflow flexibility), and Bullhorn (enterprise scale, ecosystem breadth). Understanding where each excels — and where each falls short — is the starting point for a differentiated product strategy.</w:t>
      </w:r>
    </w:p>
    <w:p>
      <w:pPr>
        <w:spacing w:before="80" w:after="80"/>
        <w:pBdr>
          <w:bottom w:val="single" w:sz="4" w:space="1" w:color="CCCCCC"/>
        </w:pBdr>
      </w:pPr>
    </w:p>
    <w:p>
      <w:pPr>
        <w:spacing w:before="200" w:after="80"/>
      </w:pPr>
      <w:r>
        <w:rPr>
          <w:rFonts w:ascii="Arial" w:hAnsi="Arial"/>
          <w:b/>
          <w:color w:val="1464B4"/>
          <w:sz w:val="26"/>
        </w:rPr>
        <w:t>Loxo</w:t>
      </w:r>
    </w:p>
    <w:p>
      <w:pPr>
        <w:spacing w:before="0" w:after="80"/>
      </w:pPr>
      <w:r>
        <w:rPr>
          <w:rFonts w:ascii="Arial" w:hAnsi="Arial"/>
          <w:b w:val="0"/>
          <w:sz w:val="20"/>
        </w:rPr>
        <w:t>Loxo positions itself as a 'Talent Intelligence Platform' — an AI-powered ATS + CRM + sourcing engine bundled into one product. At $119/user/month, it targets growth-stage agencies willing to invest in a single system.</w:t>
      </w:r>
    </w:p>
    <w:p>
      <w:pPr>
        <w:spacing w:before="200" w:after="80"/>
      </w:pPr>
      <w:r>
        <w:rPr>
          <w:rFonts w:ascii="Arial" w:hAnsi="Arial"/>
          <w:b/>
          <w:color w:val="288C50"/>
          <w:sz w:val="22"/>
        </w:rPr>
        <w:t>Strengths</w:t>
      </w:r>
    </w:p>
    <w:p>
      <w:pPr>
        <w:pStyle w:val="ListBullet"/>
        <w:spacing w:before="20" w:after="20"/>
        <w:ind w:left="432"/>
      </w:pPr>
      <w:r>
        <w:rPr>
          <w:rFonts w:ascii="Arial" w:hAnsi="Arial"/>
          <w:b w:val="0"/>
          <w:sz w:val="20"/>
        </w:rPr>
        <w:t>1.2B+ talent profile database with verified contact data and Boolean search</w:t>
      </w:r>
    </w:p>
    <w:p>
      <w:pPr>
        <w:pStyle w:val="ListBullet"/>
        <w:spacing w:before="20" w:after="20"/>
        <w:ind w:left="432"/>
      </w:pPr>
      <w:r>
        <w:rPr>
          <w:rFonts w:ascii="Arial" w:hAnsi="Arial"/>
          <w:b w:val="0"/>
          <w:sz w:val="20"/>
        </w:rPr>
        <w:t>Built-in multi-channel outreach automation (email sequences, SMS)</w:t>
      </w:r>
    </w:p>
    <w:p>
      <w:pPr>
        <w:pStyle w:val="ListBullet"/>
        <w:spacing w:before="20" w:after="20"/>
        <w:ind w:left="432"/>
      </w:pPr>
      <w:r>
        <w:rPr>
          <w:rFonts w:ascii="Arial" w:hAnsi="Arial"/>
          <w:b w:val="0"/>
          <w:sz w:val="20"/>
        </w:rPr>
        <w:t>Drag-and-drop pipeline with CRM capabilities baked in</w:t>
      </w:r>
    </w:p>
    <w:p>
      <w:pPr>
        <w:pStyle w:val="ListBullet"/>
        <w:spacing w:before="20" w:after="20"/>
        <w:ind w:left="432"/>
      </w:pPr>
      <w:r>
        <w:rPr>
          <w:rFonts w:ascii="Arial" w:hAnsi="Arial"/>
          <w:b w:val="0"/>
          <w:sz w:val="20"/>
        </w:rPr>
        <w:t>Solid AI matching and candidate-to-job scoring</w:t>
      </w:r>
    </w:p>
    <w:p>
      <w:pPr>
        <w:pStyle w:val="ListBullet"/>
        <w:spacing w:before="20" w:after="20"/>
        <w:ind w:left="432"/>
      </w:pPr>
      <w:r>
        <w:rPr>
          <w:rFonts w:ascii="Arial" w:hAnsi="Arial"/>
          <w:b w:val="0"/>
          <w:sz w:val="20"/>
        </w:rPr>
        <w:t>Single-platform pitch: replaces standalone LinkedIn Recruiter + CRM + ATS</w:t>
      </w:r>
    </w:p>
    <w:p>
      <w:pPr>
        <w:spacing w:before="200" w:after="80"/>
      </w:pPr>
      <w:r>
        <w:rPr>
          <w:rFonts w:ascii="Arial" w:hAnsi="Arial"/>
          <w:b/>
          <w:color w:val="B43C28"/>
          <w:sz w:val="22"/>
        </w:rPr>
        <w:t>Weaknesses</w:t>
      </w:r>
    </w:p>
    <w:p>
      <w:pPr>
        <w:pStyle w:val="ListBullet"/>
        <w:spacing w:before="20" w:after="20"/>
        <w:ind w:left="432"/>
      </w:pPr>
      <w:r>
        <w:rPr>
          <w:rFonts w:ascii="Arial" w:hAnsi="Arial"/>
          <w:b w:val="0"/>
          <w:sz w:val="20"/>
        </w:rPr>
        <w:t>Reporting is shallow — limited configurability, poor pipeline visibility for ops-heavy teams</w:t>
      </w:r>
    </w:p>
    <w:p>
      <w:pPr>
        <w:pStyle w:val="ListBullet"/>
        <w:spacing w:before="20" w:after="20"/>
        <w:ind w:left="432"/>
      </w:pPr>
      <w:r>
        <w:rPr>
          <w:rFonts w:ascii="Arial" w:hAnsi="Arial"/>
          <w:b w:val="0"/>
          <w:sz w:val="20"/>
        </w:rPr>
        <w:t>High cost creates pressure to justify ROI quickly; complex initial setup</w:t>
      </w:r>
    </w:p>
    <w:p>
      <w:pPr>
        <w:pStyle w:val="ListBullet"/>
        <w:spacing w:before="20" w:after="20"/>
        <w:ind w:left="432"/>
      </w:pPr>
      <w:r>
        <w:rPr>
          <w:rFonts w:ascii="Arial" w:hAnsi="Arial"/>
          <w:b w:val="0"/>
          <w:sz w:val="20"/>
        </w:rPr>
        <w:t>Frequent UI updates disrupt team workflows and re-training cycles</w:t>
      </w:r>
    </w:p>
    <w:p>
      <w:pPr>
        <w:pStyle w:val="ListBullet"/>
        <w:spacing w:before="20" w:after="20"/>
        <w:ind w:left="432"/>
      </w:pPr>
      <w:r>
        <w:rPr>
          <w:rFonts w:ascii="Arial" w:hAnsi="Arial"/>
          <w:b w:val="0"/>
          <w:sz w:val="20"/>
        </w:rPr>
        <w:t>Mobile app lags behind desktop experience</w:t>
      </w:r>
    </w:p>
    <w:p>
      <w:pPr>
        <w:pStyle w:val="ListBullet"/>
        <w:spacing w:before="20" w:after="20"/>
        <w:ind w:left="432"/>
      </w:pPr>
      <w:r>
        <w:rPr>
          <w:rFonts w:ascii="Arial" w:hAnsi="Arial"/>
          <w:b w:val="0"/>
          <w:sz w:val="20"/>
        </w:rPr>
        <w:t>CRM depth is adequate but not designed for high-touch client relationship management</w:t>
      </w:r>
    </w:p>
    <w:p>
      <w:pPr>
        <w:pStyle w:val="ListBullet"/>
        <w:spacing w:before="20" w:after="20"/>
        <w:ind w:left="432"/>
      </w:pPr>
      <w:r>
        <w:rPr>
          <w:rFonts w:ascii="Arial" w:hAnsi="Arial"/>
          <w:b w:val="0"/>
          <w:sz w:val="20"/>
        </w:rPr>
        <w:t>Client portal: minimal — clients cannot provide structured feedback on submissions</w:t>
      </w:r>
    </w:p>
    <w:p>
      <w:pPr>
        <w:pStyle w:val="ListBullet"/>
        <w:spacing w:before="20" w:after="20"/>
        <w:ind w:left="432"/>
      </w:pPr>
      <w:r>
        <w:rPr>
          <w:rFonts w:ascii="Arial" w:hAnsi="Arial"/>
          <w:b w:val="0"/>
          <w:sz w:val="20"/>
        </w:rPr>
        <w:t>Data can be stale; sourcing database accuracy varies by geography/seniority</w:t>
      </w:r>
    </w:p>
    <w:p>
      <w:pPr>
        <w:spacing w:before="80" w:after="80"/>
        <w:pBdr>
          <w:bottom w:val="single" w:sz="4" w:space="1" w:color="CCCCCC"/>
        </w:pBdr>
      </w:pPr>
    </w:p>
    <w:p>
      <w:pPr>
        <w:spacing w:before="200" w:after="80"/>
      </w:pPr>
      <w:r>
        <w:rPr>
          <w:rFonts w:ascii="Arial" w:hAnsi="Arial"/>
          <w:b/>
          <w:color w:val="1464B4"/>
          <w:sz w:val="26"/>
        </w:rPr>
        <w:t>Crelate</w:t>
      </w:r>
    </w:p>
    <w:p>
      <w:pPr>
        <w:spacing w:before="0" w:after="80"/>
      </w:pPr>
      <w:r>
        <w:rPr>
          <w:rFonts w:ascii="Arial" w:hAnsi="Arial"/>
          <w:b w:val="0"/>
          <w:sz w:val="20"/>
        </w:rPr>
        <w:t>Crelate's 'Living Platform™' targets staffing agencies and mid-market recruiting teams. Over 25,000 professionals use it. Its core differentiator is customizable workflow automation combined with a functional (if basic) client portal.</w:t>
      </w:r>
    </w:p>
    <w:p>
      <w:pPr>
        <w:spacing w:before="200" w:after="80"/>
      </w:pPr>
      <w:r>
        <w:rPr>
          <w:rFonts w:ascii="Arial" w:hAnsi="Arial"/>
          <w:b/>
          <w:color w:val="288C50"/>
          <w:sz w:val="22"/>
        </w:rPr>
        <w:t>Strengths</w:t>
      </w:r>
    </w:p>
    <w:p>
      <w:pPr>
        <w:pStyle w:val="ListBullet"/>
        <w:spacing w:before="20" w:after="20"/>
        <w:ind w:left="432"/>
      </w:pPr>
      <w:r>
        <w:rPr>
          <w:rFonts w:ascii="Arial" w:hAnsi="Arial"/>
          <w:b w:val="0"/>
          <w:sz w:val="20"/>
        </w:rPr>
        <w:t>Client portal exists — clients can review submitted profiles and log feedback</w:t>
      </w:r>
    </w:p>
    <w:p>
      <w:pPr>
        <w:pStyle w:val="ListBullet"/>
        <w:spacing w:before="20" w:after="20"/>
        <w:ind w:left="432"/>
      </w:pPr>
      <w:r>
        <w:rPr>
          <w:rFonts w:ascii="Arial" w:hAnsi="Arial"/>
          <w:b w:val="0"/>
          <w:sz w:val="20"/>
        </w:rPr>
        <w:t>Highly customizable workflow stages and pipeline automation</w:t>
      </w:r>
    </w:p>
    <w:p>
      <w:pPr>
        <w:pStyle w:val="ListBullet"/>
        <w:spacing w:before="20" w:after="20"/>
        <w:ind w:left="432"/>
      </w:pPr>
      <w:r>
        <w:rPr>
          <w:rFonts w:ascii="Arial" w:hAnsi="Arial"/>
          <w:b w:val="0"/>
          <w:sz w:val="20"/>
        </w:rPr>
        <w:t>VMS (Vendor Management System) integration for staffing shops</w:t>
      </w:r>
    </w:p>
    <w:p>
      <w:pPr>
        <w:pStyle w:val="ListBullet"/>
        <w:spacing w:before="20" w:after="20"/>
        <w:ind w:left="432"/>
      </w:pPr>
      <w:r>
        <w:rPr>
          <w:rFonts w:ascii="Arial" w:hAnsi="Arial"/>
          <w:b w:val="0"/>
          <w:sz w:val="20"/>
        </w:rPr>
        <w:t>SEO-optimized branded job portal embeddable on agency website</w:t>
      </w:r>
    </w:p>
    <w:p>
      <w:pPr>
        <w:pStyle w:val="ListBullet"/>
        <w:spacing w:before="20" w:after="20"/>
        <w:ind w:left="432"/>
      </w:pPr>
      <w:r>
        <w:rPr>
          <w:rFonts w:ascii="Arial" w:hAnsi="Arial"/>
          <w:b w:val="0"/>
          <w:sz w:val="20"/>
        </w:rPr>
        <w:t>AI Co-Pilot for record enrichment and signal surfacing</w:t>
      </w:r>
    </w:p>
    <w:p>
      <w:pPr>
        <w:pStyle w:val="ListBullet"/>
        <w:spacing w:before="20" w:after="20"/>
        <w:ind w:left="432"/>
      </w:pPr>
      <w:r>
        <w:rPr>
          <w:rFonts w:ascii="Arial" w:hAnsi="Arial"/>
          <w:b w:val="0"/>
          <w:sz w:val="20"/>
        </w:rPr>
        <w:t>Strong CRM side-by-side with ATS: client pursuit tracking + recruiting in one view</w:t>
      </w:r>
    </w:p>
    <w:p>
      <w:pPr>
        <w:spacing w:before="200" w:after="80"/>
      </w:pPr>
      <w:r>
        <w:rPr>
          <w:rFonts w:ascii="Arial" w:hAnsi="Arial"/>
          <w:b/>
          <w:color w:val="B43C28"/>
          <w:sz w:val="22"/>
        </w:rPr>
        <w:t>Weaknesses</w:t>
      </w:r>
    </w:p>
    <w:p>
      <w:pPr>
        <w:pStyle w:val="ListBullet"/>
        <w:spacing w:before="20" w:after="20"/>
        <w:ind w:left="432"/>
      </w:pPr>
      <w:r>
        <w:rPr>
          <w:rFonts w:ascii="Arial" w:hAnsi="Arial"/>
          <w:b w:val="0"/>
          <w:sz w:val="20"/>
        </w:rPr>
        <w:t>Search and sort UX is clunky — candidates and clients are hard to surface quickly</w:t>
      </w:r>
    </w:p>
    <w:p>
      <w:pPr>
        <w:pStyle w:val="ListBullet"/>
        <w:spacing w:before="20" w:after="20"/>
        <w:ind w:left="432"/>
      </w:pPr>
      <w:r>
        <w:rPr>
          <w:rFonts w:ascii="Arial" w:hAnsi="Arial"/>
          <w:b w:val="0"/>
          <w:sz w:val="20"/>
        </w:rPr>
        <w:t>Reporting dashboards feel generic; BI depth is insufficient for data-driven firms</w:t>
      </w:r>
    </w:p>
    <w:p>
      <w:pPr>
        <w:pStyle w:val="ListBullet"/>
        <w:spacing w:before="20" w:after="20"/>
        <w:ind w:left="432"/>
      </w:pPr>
      <w:r>
        <w:rPr>
          <w:rFonts w:ascii="Arial" w:hAnsi="Arial"/>
          <w:b w:val="0"/>
          <w:sz w:val="20"/>
        </w:rPr>
        <w:t>Slow bulk-import performance; large resume imports degrade system speed</w:t>
      </w:r>
    </w:p>
    <w:p>
      <w:pPr>
        <w:pStyle w:val="ListBullet"/>
        <w:spacing w:before="20" w:after="20"/>
        <w:ind w:left="432"/>
      </w:pPr>
      <w:r>
        <w:rPr>
          <w:rFonts w:ascii="Arial" w:hAnsi="Arial"/>
          <w:b w:val="0"/>
          <w:sz w:val="20"/>
        </w:rPr>
        <w:t>Less polished UI — described as 'clunky' in consistent user reviews</w:t>
      </w:r>
    </w:p>
    <w:p>
      <w:pPr>
        <w:pStyle w:val="ListBullet"/>
        <w:spacing w:before="20" w:after="20"/>
        <w:ind w:left="432"/>
      </w:pPr>
      <w:r>
        <w:rPr>
          <w:rFonts w:ascii="Arial" w:hAnsi="Arial"/>
          <w:b w:val="0"/>
          <w:sz w:val="20"/>
        </w:rPr>
        <w:t>Client portal is functional but basic: no rich media, no scoring, limited workflow triggers</w:t>
      </w:r>
    </w:p>
    <w:p>
      <w:pPr>
        <w:pStyle w:val="ListBullet"/>
        <w:spacing w:before="20" w:after="20"/>
        <w:ind w:left="432"/>
      </w:pPr>
      <w:r>
        <w:rPr>
          <w:rFonts w:ascii="Arial" w:hAnsi="Arial"/>
          <w:b w:val="0"/>
          <w:sz w:val="20"/>
        </w:rPr>
        <w:t>Funnel visualization is limited; stage mapping across multiple reqs lacks clarity</w:t>
      </w:r>
    </w:p>
    <w:p>
      <w:pPr>
        <w:spacing w:before="80" w:after="80"/>
        <w:pBdr>
          <w:bottom w:val="single" w:sz="4" w:space="1" w:color="CCCCCC"/>
        </w:pBdr>
      </w:pPr>
    </w:p>
    <w:p>
      <w:pPr>
        <w:spacing w:before="200" w:after="80"/>
      </w:pPr>
      <w:r>
        <w:rPr>
          <w:rFonts w:ascii="Arial" w:hAnsi="Arial"/>
          <w:b/>
          <w:color w:val="1464B4"/>
          <w:sz w:val="26"/>
        </w:rPr>
        <w:t>Bullhorn</w:t>
      </w:r>
    </w:p>
    <w:p>
      <w:pPr>
        <w:spacing w:before="0" w:after="80"/>
      </w:pPr>
      <w:r>
        <w:rPr>
          <w:rFonts w:ascii="Arial" w:hAnsi="Arial"/>
          <w:b w:val="0"/>
          <w:sz w:val="20"/>
        </w:rPr>
        <w:t>Bullhorn is the enterprise incumbent — built on Salesforce architecture and targeting mid-to-large staffing firms. Its 300+ integration marketplace and Bullhorn Amplify (AI) make it powerful, but its complexity and cost often price out smaller agencies.</w:t>
      </w:r>
    </w:p>
    <w:p>
      <w:pPr>
        <w:spacing w:before="200" w:after="80"/>
      </w:pPr>
      <w:r>
        <w:rPr>
          <w:rFonts w:ascii="Arial" w:hAnsi="Arial"/>
          <w:b/>
          <w:color w:val="288C50"/>
          <w:sz w:val="22"/>
        </w:rPr>
        <w:t>Strengths</w:t>
      </w:r>
    </w:p>
    <w:p>
      <w:pPr>
        <w:pStyle w:val="ListBullet"/>
        <w:spacing w:before="20" w:after="20"/>
        <w:ind w:left="432"/>
      </w:pPr>
      <w:r>
        <w:rPr>
          <w:rFonts w:ascii="Arial" w:hAnsi="Arial"/>
          <w:b w:val="0"/>
          <w:sz w:val="20"/>
        </w:rPr>
        <w:t>300+ pre-integrated technology partners; deepest ecosystem in the market</w:t>
      </w:r>
    </w:p>
    <w:p>
      <w:pPr>
        <w:pStyle w:val="ListBullet"/>
        <w:spacing w:before="20" w:after="20"/>
        <w:ind w:left="432"/>
      </w:pPr>
      <w:r>
        <w:rPr>
          <w:rFonts w:ascii="Arial" w:hAnsi="Arial"/>
          <w:b w:val="0"/>
          <w:sz w:val="20"/>
        </w:rPr>
        <w:t>Bullhorn Amplify AI: sourcing, screening, outreach, and record summaries in-workflow</w:t>
      </w:r>
    </w:p>
    <w:p>
      <w:pPr>
        <w:pStyle w:val="ListBullet"/>
        <w:spacing w:before="20" w:after="20"/>
        <w:ind w:left="432"/>
      </w:pPr>
      <w:r>
        <w:rPr>
          <w:rFonts w:ascii="Arial" w:hAnsi="Arial"/>
          <w:b w:val="0"/>
          <w:sz w:val="20"/>
        </w:rPr>
        <w:t>Proven at scale: handles high-volume temp/contract staffing at enterprise level</w:t>
      </w:r>
    </w:p>
    <w:p>
      <w:pPr>
        <w:pStyle w:val="ListBullet"/>
        <w:spacing w:before="20" w:after="20"/>
        <w:ind w:left="432"/>
      </w:pPr>
      <w:r>
        <w:rPr>
          <w:rFonts w:ascii="Arial" w:hAnsi="Arial"/>
          <w:b w:val="0"/>
          <w:sz w:val="20"/>
        </w:rPr>
        <w:t>Mobile-first interface with real-time team alignment</w:t>
      </w:r>
    </w:p>
    <w:p>
      <w:pPr>
        <w:pStyle w:val="ListBullet"/>
        <w:spacing w:before="20" w:after="20"/>
        <w:ind w:left="432"/>
      </w:pPr>
      <w:r>
        <w:rPr>
          <w:rFonts w:ascii="Arial" w:hAnsi="Arial"/>
          <w:b w:val="0"/>
          <w:sz w:val="20"/>
        </w:rPr>
        <w:t>AI-powered matching delivers measurable placement lift (claimed 36% more placements)</w:t>
      </w:r>
    </w:p>
    <w:p>
      <w:pPr>
        <w:pStyle w:val="ListBullet"/>
        <w:spacing w:before="20" w:after="20"/>
        <w:ind w:left="432"/>
      </w:pPr>
      <w:r>
        <w:rPr>
          <w:rFonts w:ascii="Arial" w:hAnsi="Arial"/>
          <w:b w:val="0"/>
          <w:sz w:val="20"/>
        </w:rPr>
        <w:t>Strong automation: data hygiene, follow-up triggers, pipeline progression</w:t>
      </w:r>
    </w:p>
    <w:p>
      <w:pPr>
        <w:spacing w:before="200" w:after="80"/>
      </w:pPr>
      <w:r>
        <w:rPr>
          <w:rFonts w:ascii="Arial" w:hAnsi="Arial"/>
          <w:b/>
          <w:color w:val="B43C28"/>
          <w:sz w:val="22"/>
        </w:rPr>
        <w:t>Weaknesses</w:t>
      </w:r>
    </w:p>
    <w:p>
      <w:pPr>
        <w:pStyle w:val="ListBullet"/>
        <w:spacing w:before="20" w:after="20"/>
        <w:ind w:left="432"/>
      </w:pPr>
      <w:r>
        <w:rPr>
          <w:rFonts w:ascii="Arial" w:hAnsi="Arial"/>
          <w:b w:val="0"/>
          <w:sz w:val="20"/>
        </w:rPr>
        <w:t>Reporting tools are segmented and often require additional paid modules</w:t>
      </w:r>
    </w:p>
    <w:p>
      <w:pPr>
        <w:pStyle w:val="ListBullet"/>
        <w:spacing w:before="20" w:after="20"/>
        <w:ind w:left="432"/>
      </w:pPr>
      <w:r>
        <w:rPr>
          <w:rFonts w:ascii="Arial" w:hAnsi="Arial"/>
          <w:b w:val="0"/>
          <w:sz w:val="20"/>
        </w:rPr>
        <w:t>Notoriously poor onboarding and support for non-enterprise customers</w:t>
      </w:r>
    </w:p>
    <w:p>
      <w:pPr>
        <w:pStyle w:val="ListBullet"/>
        <w:spacing w:before="20" w:after="20"/>
        <w:ind w:left="432"/>
      </w:pPr>
      <w:r>
        <w:rPr>
          <w:rFonts w:ascii="Arial" w:hAnsi="Arial"/>
          <w:b w:val="0"/>
          <w:sz w:val="20"/>
        </w:rPr>
        <w:t>Configuration complexity: significant admin overhead to maintain and customize</w:t>
      </w:r>
    </w:p>
    <w:p>
      <w:pPr>
        <w:pStyle w:val="ListBullet"/>
        <w:spacing w:before="20" w:after="20"/>
        <w:ind w:left="432"/>
      </w:pPr>
      <w:r>
        <w:rPr>
          <w:rFonts w:ascii="Arial" w:hAnsi="Arial"/>
          <w:b w:val="0"/>
          <w:sz w:val="20"/>
        </w:rPr>
        <w:t>No meaningful client portal — client collaboration is largely email-based</w:t>
      </w:r>
    </w:p>
    <w:p>
      <w:pPr>
        <w:pStyle w:val="ListBullet"/>
        <w:spacing w:before="20" w:after="20"/>
        <w:ind w:left="432"/>
      </w:pPr>
      <w:r>
        <w:rPr>
          <w:rFonts w:ascii="Arial" w:hAnsi="Arial"/>
          <w:b w:val="0"/>
          <w:sz w:val="20"/>
        </w:rPr>
        <w:t>High total cost of ownership when factoring in required add-ons</w:t>
      </w:r>
    </w:p>
    <w:p>
      <w:pPr>
        <w:pStyle w:val="ListBullet"/>
        <w:spacing w:before="20" w:after="20"/>
        <w:ind w:left="432"/>
      </w:pPr>
      <w:r>
        <w:rPr>
          <w:rFonts w:ascii="Arial" w:hAnsi="Arial"/>
          <w:b w:val="0"/>
          <w:sz w:val="20"/>
        </w:rPr>
        <w:t>Overkill for boutique/specialist agencies; UI density can overwhelm smaller teams</w:t>
      </w:r>
    </w:p>
    <w:p>
      <w:pPr>
        <w:pStyle w:val="ListBullet"/>
        <w:spacing w:before="20" w:after="20"/>
        <w:ind w:left="432"/>
      </w:pPr>
      <w:r>
        <w:rPr>
          <w:rFonts w:ascii="Arial" w:hAnsi="Arial"/>
          <w:b w:val="0"/>
          <w:sz w:val="20"/>
        </w:rPr>
        <w:t>Funnel and pipeline visualization is functional but not purpose-built for presentation</w:t>
      </w:r>
    </w:p>
    <w:p>
      <w:pPr>
        <w:spacing w:before="80" w:after="80"/>
        <w:pBdr>
          <w:bottom w:val="single" w:sz="4" w:space="1" w:color="CCCCCC"/>
        </w:pBdr>
      </w:pPr>
    </w:p>
    <w:p>
      <w:pPr>
        <w:spacing w:before="280" w:after="80"/>
      </w:pPr>
      <w:r>
        <w:rPr>
          <w:rFonts w:ascii="Arial" w:hAnsi="Arial"/>
          <w:b/>
          <w:color w:val="1E50A0"/>
          <w:sz w:val="32"/>
        </w:rPr>
        <w:t>2. Feature Capability Matrix</w:t>
      </w:r>
    </w:p>
    <w:p>
      <w:pPr>
        <w:spacing w:before="0" w:after="80"/>
      </w:pPr>
      <w:r>
        <w:rPr>
          <w:rFonts w:ascii="Arial" w:hAnsi="Arial"/>
          <w:b w:val="0"/>
          <w:sz w:val="20"/>
        </w:rPr>
        <w:t>How the three incumbents stack up across the capability pillars most relevant to your build.</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tcPr>
          <w:p/>
        </w:tc>
        <w:tc>
          <w:tcPr>
            <w:tcW w:type="dxa" w:w="2016"/>
          </w:tcPr>
          <w:p/>
        </w:tc>
        <w:tc>
          <w:tcPr>
            <w:tcW w:type="dxa" w:w="2016"/>
          </w:tcPr>
          <w:p/>
        </w:tc>
        <w:tc>
          <w:tcPr>
            <w:tcW w:type="dxa" w:w="2016"/>
          </w:tcPr>
          <w:p/>
        </w:tc>
        <w:tc>
          <w:tcPr>
            <w:tcW w:type="dxa" w:w="1440"/>
          </w:tcPr>
          <w:p/>
        </w:tc>
      </w:tr>
      <w:tr>
        <w:tc>
          <w:tcPr>
            <w:tcW w:type="dxa" w:w="1872"/>
            <w:shd w:val="clear" w:color="auto" w:fill="1E4E8C"/>
          </w:tcPr>
          <w:p>
            <w:pPr>
              <w:spacing w:before="60" w:after="60"/>
            </w:pPr>
            <w:r>
              <w:rPr>
                <w:rFonts w:ascii="Arial" w:hAnsi="Arial"/>
                <w:b/>
                <w:sz w:val="18"/>
              </w:rPr>
              <w:t>Capability</w:t>
            </w:r>
          </w:p>
        </w:tc>
        <w:tc>
          <w:tcPr>
            <w:tcW w:type="dxa" w:w="1872"/>
            <w:shd w:val="clear" w:color="auto" w:fill="1E4E8C"/>
          </w:tcPr>
          <w:p>
            <w:pPr>
              <w:spacing w:before="60" w:after="60"/>
            </w:pPr>
            <w:r>
              <w:rPr>
                <w:rFonts w:ascii="Arial" w:hAnsi="Arial"/>
                <w:b/>
                <w:sz w:val="18"/>
              </w:rPr>
              <w:t>Loxo</w:t>
            </w:r>
          </w:p>
        </w:tc>
        <w:tc>
          <w:tcPr>
            <w:tcW w:type="dxa" w:w="1872"/>
            <w:shd w:val="clear" w:color="auto" w:fill="1E4E8C"/>
          </w:tcPr>
          <w:p>
            <w:pPr>
              <w:spacing w:before="60" w:after="60"/>
            </w:pPr>
            <w:r>
              <w:rPr>
                <w:rFonts w:ascii="Arial" w:hAnsi="Arial"/>
                <w:b/>
                <w:sz w:val="18"/>
              </w:rPr>
              <w:t>Crelate</w:t>
            </w:r>
          </w:p>
        </w:tc>
        <w:tc>
          <w:tcPr>
            <w:tcW w:type="dxa" w:w="1872"/>
            <w:shd w:val="clear" w:color="auto" w:fill="1E4E8C"/>
          </w:tcPr>
          <w:p>
            <w:pPr>
              <w:spacing w:before="60" w:after="60"/>
            </w:pPr>
            <w:r>
              <w:rPr>
                <w:rFonts w:ascii="Arial" w:hAnsi="Arial"/>
                <w:b/>
                <w:sz w:val="18"/>
              </w:rPr>
              <w:t>Bullhorn</w:t>
            </w:r>
          </w:p>
        </w:tc>
        <w:tc>
          <w:tcPr>
            <w:tcW w:type="dxa" w:w="1872"/>
            <w:shd w:val="clear" w:color="auto" w:fill="1E4E8C"/>
          </w:tcPr>
          <w:p>
            <w:pPr>
              <w:spacing w:before="60" w:after="60"/>
            </w:pPr>
            <w:r>
              <w:rPr>
                <w:rFonts w:ascii="Arial" w:hAnsi="Arial"/>
                <w:b/>
                <w:sz w:val="18"/>
              </w:rPr>
              <w:t>Gap?</w:t>
            </w:r>
          </w:p>
        </w:tc>
      </w:tr>
      <w:tr>
        <w:tc>
          <w:tcPr>
            <w:tcW w:type="dxa" w:w="1872"/>
            <w:shd w:val="clear" w:color="auto" w:fill="F5F8FF"/>
          </w:tcPr>
          <w:p>
            <w:pPr>
              <w:spacing w:before="60" w:after="60"/>
            </w:pPr>
            <w:r>
              <w:rPr>
                <w:rFonts w:ascii="Arial" w:hAnsi="Arial"/>
                <w:b/>
                <w:sz w:val="18"/>
              </w:rPr>
              <w:t>ATS Core (tracking, parsing)</w:t>
            </w:r>
          </w:p>
        </w:tc>
        <w:tc>
          <w:tcPr>
            <w:tcW w:type="dxa" w:w="1872"/>
            <w:shd w:val="clear" w:color="auto" w:fill="F5F8FF"/>
          </w:tcPr>
          <w:p>
            <w:pPr>
              <w:spacing w:before="60" w:after="60"/>
            </w:pPr>
            <w:r>
              <w:rPr>
                <w:rFonts w:ascii="Arial" w:hAnsi="Arial"/>
                <w:b w:val="0"/>
                <w:sz w:val="18"/>
              </w:rPr>
              <w:t>Strong</w:t>
            </w:r>
          </w:p>
        </w:tc>
        <w:tc>
          <w:tcPr>
            <w:tcW w:type="dxa" w:w="1872"/>
            <w:shd w:val="clear" w:color="auto" w:fill="F5F8FF"/>
          </w:tcPr>
          <w:p>
            <w:pPr>
              <w:spacing w:before="60" w:after="60"/>
            </w:pPr>
            <w:r>
              <w:rPr>
                <w:rFonts w:ascii="Arial" w:hAnsi="Arial"/>
                <w:b w:val="0"/>
                <w:sz w:val="18"/>
              </w:rPr>
              <w:t>Strong</w:t>
            </w:r>
          </w:p>
        </w:tc>
        <w:tc>
          <w:tcPr>
            <w:tcW w:type="dxa" w:w="1872"/>
            <w:shd w:val="clear" w:color="auto" w:fill="F5F8FF"/>
          </w:tcPr>
          <w:p>
            <w:pPr>
              <w:spacing w:before="60" w:after="60"/>
            </w:pPr>
            <w:r>
              <w:rPr>
                <w:rFonts w:ascii="Arial" w:hAnsi="Arial"/>
                <w:b w:val="0"/>
                <w:sz w:val="18"/>
              </w:rPr>
              <w:t>Strong</w:t>
            </w:r>
          </w:p>
        </w:tc>
        <w:tc>
          <w:tcPr>
            <w:tcW w:type="dxa" w:w="1872"/>
            <w:shd w:val="clear" w:color="auto" w:fill="F5F8FF"/>
          </w:tcPr>
          <w:p>
            <w:pPr>
              <w:spacing w:before="60" w:after="60"/>
            </w:pPr>
            <w:r>
              <w:rPr>
                <w:rFonts w:ascii="Arial" w:hAnsi="Arial"/>
                <w:b w:val="0"/>
                <w:sz w:val="18"/>
              </w:rPr>
              <w:t>—</w:t>
            </w:r>
          </w:p>
        </w:tc>
      </w:tr>
      <w:tr>
        <w:tc>
          <w:tcPr>
            <w:tcW w:type="dxa" w:w="1872"/>
          </w:tcPr>
          <w:p>
            <w:pPr>
              <w:spacing w:before="60" w:after="60"/>
            </w:pPr>
            <w:r>
              <w:rPr>
                <w:rFonts w:ascii="Arial" w:hAnsi="Arial"/>
                <w:b/>
                <w:sz w:val="18"/>
              </w:rPr>
              <w:t>CRM / Client Mgmt</w:t>
            </w:r>
          </w:p>
        </w:tc>
        <w:tc>
          <w:tcPr>
            <w:tcW w:type="dxa" w:w="1872"/>
          </w:tcPr>
          <w:p>
            <w:pPr>
              <w:spacing w:before="60" w:after="60"/>
            </w:pPr>
            <w:r>
              <w:rPr>
                <w:rFonts w:ascii="Arial" w:hAnsi="Arial"/>
                <w:b w:val="0"/>
                <w:sz w:val="18"/>
              </w:rPr>
              <w:t>Adequate</w:t>
            </w:r>
          </w:p>
        </w:tc>
        <w:tc>
          <w:tcPr>
            <w:tcW w:type="dxa" w:w="1872"/>
          </w:tcPr>
          <w:p>
            <w:pPr>
              <w:spacing w:before="60" w:after="60"/>
            </w:pPr>
            <w:r>
              <w:rPr>
                <w:rFonts w:ascii="Arial" w:hAnsi="Arial"/>
                <w:b w:val="0"/>
                <w:sz w:val="18"/>
              </w:rPr>
              <w:t>Strong</w:t>
            </w:r>
          </w:p>
        </w:tc>
        <w:tc>
          <w:tcPr>
            <w:tcW w:type="dxa" w:w="1872"/>
          </w:tcPr>
          <w:p>
            <w:pPr>
              <w:spacing w:before="60" w:after="60"/>
            </w:pPr>
            <w:r>
              <w:rPr>
                <w:rFonts w:ascii="Arial" w:hAnsi="Arial"/>
                <w:b w:val="0"/>
                <w:sz w:val="18"/>
              </w:rPr>
              <w:t>Strong</w:t>
            </w:r>
          </w:p>
        </w:tc>
        <w:tc>
          <w:tcPr>
            <w:tcW w:type="dxa" w:w="1872"/>
          </w:tcPr>
          <w:p>
            <w:pPr>
              <w:spacing w:before="60" w:after="60"/>
            </w:pPr>
            <w:r>
              <w:rPr>
                <w:rFonts w:ascii="Arial" w:hAnsi="Arial"/>
                <w:b w:val="0"/>
                <w:sz w:val="18"/>
              </w:rPr>
              <w:t>—</w:t>
            </w:r>
          </w:p>
        </w:tc>
      </w:tr>
      <w:tr>
        <w:tc>
          <w:tcPr>
            <w:tcW w:type="dxa" w:w="1872"/>
            <w:shd w:val="clear" w:color="auto" w:fill="F5F8FF"/>
          </w:tcPr>
          <w:p>
            <w:pPr>
              <w:spacing w:before="60" w:after="60"/>
            </w:pPr>
            <w:r>
              <w:rPr>
                <w:rFonts w:ascii="Arial" w:hAnsi="Arial"/>
                <w:b/>
                <w:sz w:val="18"/>
              </w:rPr>
              <w:t>AI Sourcing / Matching</w:t>
            </w:r>
          </w:p>
        </w:tc>
        <w:tc>
          <w:tcPr>
            <w:tcW w:type="dxa" w:w="1872"/>
            <w:shd w:val="clear" w:color="auto" w:fill="F5F8FF"/>
          </w:tcPr>
          <w:p>
            <w:pPr>
              <w:spacing w:before="60" w:after="60"/>
            </w:pPr>
            <w:r>
              <w:rPr>
                <w:rFonts w:ascii="Arial" w:hAnsi="Arial"/>
                <w:b w:val="0"/>
                <w:sz w:val="18"/>
              </w:rPr>
              <w:t>Strong</w:t>
            </w:r>
          </w:p>
        </w:tc>
        <w:tc>
          <w:tcPr>
            <w:tcW w:type="dxa" w:w="1872"/>
            <w:shd w:val="clear" w:color="auto" w:fill="F5F8FF"/>
          </w:tcPr>
          <w:p>
            <w:pPr>
              <w:spacing w:before="60" w:after="60"/>
            </w:pPr>
            <w:r>
              <w:rPr>
                <w:rFonts w:ascii="Arial" w:hAnsi="Arial"/>
                <w:b w:val="0"/>
                <w:sz w:val="18"/>
              </w:rPr>
              <w:t>Moderate</w:t>
            </w:r>
          </w:p>
        </w:tc>
        <w:tc>
          <w:tcPr>
            <w:tcW w:type="dxa" w:w="1872"/>
            <w:shd w:val="clear" w:color="auto" w:fill="F5F8FF"/>
          </w:tcPr>
          <w:p>
            <w:pPr>
              <w:spacing w:before="60" w:after="60"/>
            </w:pPr>
            <w:r>
              <w:rPr>
                <w:rFonts w:ascii="Arial" w:hAnsi="Arial"/>
                <w:b w:val="0"/>
                <w:sz w:val="18"/>
              </w:rPr>
              <w:t>Strong</w:t>
            </w:r>
          </w:p>
        </w:tc>
        <w:tc>
          <w:tcPr>
            <w:tcW w:type="dxa" w:w="1872"/>
            <w:shd w:val="clear" w:color="auto" w:fill="F5F8FF"/>
          </w:tcPr>
          <w:p>
            <w:pPr>
              <w:spacing w:before="60" w:after="60"/>
            </w:pPr>
            <w:r>
              <w:rPr>
                <w:rFonts w:ascii="Arial" w:hAnsi="Arial"/>
                <w:b w:val="0"/>
                <w:sz w:val="18"/>
              </w:rPr>
              <w:t>—</w:t>
            </w:r>
          </w:p>
        </w:tc>
      </w:tr>
      <w:tr>
        <w:tc>
          <w:tcPr>
            <w:tcW w:type="dxa" w:w="1872"/>
          </w:tcPr>
          <w:p>
            <w:pPr>
              <w:spacing w:before="60" w:after="60"/>
            </w:pPr>
            <w:r>
              <w:rPr>
                <w:rFonts w:ascii="Arial" w:hAnsi="Arial"/>
                <w:b/>
                <w:sz w:val="18"/>
              </w:rPr>
              <w:t>Workflow Automation</w:t>
            </w:r>
          </w:p>
        </w:tc>
        <w:tc>
          <w:tcPr>
            <w:tcW w:type="dxa" w:w="1872"/>
          </w:tcPr>
          <w:p>
            <w:pPr>
              <w:spacing w:before="60" w:after="60"/>
            </w:pPr>
            <w:r>
              <w:rPr>
                <w:rFonts w:ascii="Arial" w:hAnsi="Arial"/>
                <w:b w:val="0"/>
                <w:sz w:val="18"/>
              </w:rPr>
              <w:t>Moderate</w:t>
            </w:r>
          </w:p>
        </w:tc>
        <w:tc>
          <w:tcPr>
            <w:tcW w:type="dxa" w:w="1872"/>
          </w:tcPr>
          <w:p>
            <w:pPr>
              <w:spacing w:before="60" w:after="60"/>
            </w:pPr>
            <w:r>
              <w:rPr>
                <w:rFonts w:ascii="Arial" w:hAnsi="Arial"/>
                <w:b w:val="0"/>
                <w:sz w:val="18"/>
              </w:rPr>
              <w:t>Strong</w:t>
            </w:r>
          </w:p>
        </w:tc>
        <w:tc>
          <w:tcPr>
            <w:tcW w:type="dxa" w:w="1872"/>
          </w:tcPr>
          <w:p>
            <w:pPr>
              <w:spacing w:before="60" w:after="60"/>
            </w:pPr>
            <w:r>
              <w:rPr>
                <w:rFonts w:ascii="Arial" w:hAnsi="Arial"/>
                <w:b w:val="0"/>
                <w:sz w:val="18"/>
              </w:rPr>
              <w:t>Strong</w:t>
            </w:r>
          </w:p>
        </w:tc>
        <w:tc>
          <w:tcPr>
            <w:tcW w:type="dxa" w:w="1872"/>
          </w:tcPr>
          <w:p>
            <w:pPr>
              <w:spacing w:before="60" w:after="60"/>
            </w:pPr>
            <w:r>
              <w:rPr>
                <w:rFonts w:ascii="Arial" w:hAnsi="Arial"/>
                <w:b w:val="0"/>
                <w:sz w:val="18"/>
              </w:rPr>
              <w:t>—</w:t>
            </w:r>
          </w:p>
        </w:tc>
      </w:tr>
      <w:tr>
        <w:tc>
          <w:tcPr>
            <w:tcW w:type="dxa" w:w="1872"/>
            <w:shd w:val="clear" w:color="auto" w:fill="F5F8FF"/>
          </w:tcPr>
          <w:p>
            <w:pPr>
              <w:spacing w:before="60" w:after="60"/>
            </w:pPr>
            <w:r>
              <w:rPr>
                <w:rFonts w:ascii="Arial" w:hAnsi="Arial"/>
                <w:b/>
                <w:sz w:val="18"/>
              </w:rPr>
              <w:t>Funnel Visualization</w:t>
            </w:r>
          </w:p>
        </w:tc>
        <w:tc>
          <w:tcPr>
            <w:tcW w:type="dxa" w:w="1872"/>
            <w:shd w:val="clear" w:color="auto" w:fill="F5F8FF"/>
          </w:tcPr>
          <w:p>
            <w:pPr>
              <w:spacing w:before="60" w:after="60"/>
            </w:pPr>
            <w:r>
              <w:rPr>
                <w:rFonts w:ascii="Arial" w:hAnsi="Arial"/>
                <w:b w:val="0"/>
                <w:sz w:val="18"/>
              </w:rPr>
              <w:t>Basic</w:t>
            </w:r>
          </w:p>
        </w:tc>
        <w:tc>
          <w:tcPr>
            <w:tcW w:type="dxa" w:w="1872"/>
            <w:shd w:val="clear" w:color="auto" w:fill="F5F8FF"/>
          </w:tcPr>
          <w:p>
            <w:pPr>
              <w:spacing w:before="60" w:after="60"/>
            </w:pPr>
            <w:r>
              <w:rPr>
                <w:rFonts w:ascii="Arial" w:hAnsi="Arial"/>
                <w:b w:val="0"/>
                <w:sz w:val="18"/>
              </w:rPr>
              <w:t>Basic</w:t>
            </w:r>
          </w:p>
        </w:tc>
        <w:tc>
          <w:tcPr>
            <w:tcW w:type="dxa" w:w="1872"/>
            <w:shd w:val="clear" w:color="auto" w:fill="F5F8FF"/>
          </w:tcPr>
          <w:p>
            <w:pPr>
              <w:spacing w:before="60" w:after="60"/>
            </w:pPr>
            <w:r>
              <w:rPr>
                <w:rFonts w:ascii="Arial" w:hAnsi="Arial"/>
                <w:b w:val="0"/>
                <w:sz w:val="18"/>
              </w:rPr>
              <w:t>Basic</w:t>
            </w:r>
          </w:p>
        </w:tc>
        <w:tc>
          <w:tcPr>
            <w:tcW w:type="dxa" w:w="1872"/>
            <w:shd w:val="clear" w:color="auto" w:fill="F5F8FF"/>
          </w:tcPr>
          <w:p>
            <w:pPr>
              <w:spacing w:before="60" w:after="60"/>
            </w:pPr>
            <w:r>
              <w:rPr>
                <w:rFonts w:ascii="Arial" w:hAnsi="Arial"/>
                <w:b w:val="0"/>
                <w:sz w:val="18"/>
              </w:rPr>
              <w:t>✓ Gap</w:t>
            </w:r>
          </w:p>
        </w:tc>
      </w:tr>
      <w:tr>
        <w:tc>
          <w:tcPr>
            <w:tcW w:type="dxa" w:w="1872"/>
          </w:tcPr>
          <w:p>
            <w:pPr>
              <w:spacing w:before="60" w:after="60"/>
            </w:pPr>
            <w:r>
              <w:rPr>
                <w:rFonts w:ascii="Arial" w:hAnsi="Arial"/>
                <w:b/>
                <w:sz w:val="18"/>
              </w:rPr>
              <w:t>Pipeline Stage Mapping</w:t>
            </w:r>
          </w:p>
        </w:tc>
        <w:tc>
          <w:tcPr>
            <w:tcW w:type="dxa" w:w="1872"/>
          </w:tcPr>
          <w:p>
            <w:pPr>
              <w:spacing w:before="60" w:after="60"/>
            </w:pPr>
            <w:r>
              <w:rPr>
                <w:rFonts w:ascii="Arial" w:hAnsi="Arial"/>
                <w:b w:val="0"/>
                <w:sz w:val="18"/>
              </w:rPr>
              <w:t>Limited</w:t>
            </w:r>
          </w:p>
        </w:tc>
        <w:tc>
          <w:tcPr>
            <w:tcW w:type="dxa" w:w="1872"/>
          </w:tcPr>
          <w:p>
            <w:pPr>
              <w:spacing w:before="60" w:after="60"/>
            </w:pPr>
            <w:r>
              <w:rPr>
                <w:rFonts w:ascii="Arial" w:hAnsi="Arial"/>
                <w:b w:val="0"/>
                <w:sz w:val="18"/>
              </w:rPr>
              <w:t>Moderate</w:t>
            </w:r>
          </w:p>
        </w:tc>
        <w:tc>
          <w:tcPr>
            <w:tcW w:type="dxa" w:w="1872"/>
          </w:tcPr>
          <w:p>
            <w:pPr>
              <w:spacing w:before="60" w:after="60"/>
            </w:pPr>
            <w:r>
              <w:rPr>
                <w:rFonts w:ascii="Arial" w:hAnsi="Arial"/>
                <w:b w:val="0"/>
                <w:sz w:val="18"/>
              </w:rPr>
              <w:t>Limited</w:t>
            </w:r>
          </w:p>
        </w:tc>
        <w:tc>
          <w:tcPr>
            <w:tcW w:type="dxa" w:w="1872"/>
          </w:tcPr>
          <w:p>
            <w:pPr>
              <w:spacing w:before="60" w:after="60"/>
            </w:pPr>
            <w:r>
              <w:rPr>
                <w:rFonts w:ascii="Arial" w:hAnsi="Arial"/>
                <w:b w:val="0"/>
                <w:sz w:val="18"/>
              </w:rPr>
              <w:t>✓ Gap</w:t>
            </w:r>
          </w:p>
        </w:tc>
      </w:tr>
      <w:tr>
        <w:tc>
          <w:tcPr>
            <w:tcW w:type="dxa" w:w="1872"/>
            <w:shd w:val="clear" w:color="auto" w:fill="F5F8FF"/>
          </w:tcPr>
          <w:p>
            <w:pPr>
              <w:spacing w:before="60" w:after="60"/>
            </w:pPr>
            <w:r>
              <w:rPr>
                <w:rFonts w:ascii="Arial" w:hAnsi="Arial"/>
                <w:b/>
                <w:sz w:val="18"/>
              </w:rPr>
              <w:t>Client Portal (submission review)</w:t>
            </w:r>
          </w:p>
        </w:tc>
        <w:tc>
          <w:tcPr>
            <w:tcW w:type="dxa" w:w="1872"/>
            <w:shd w:val="clear" w:color="auto" w:fill="F5F8FF"/>
          </w:tcPr>
          <w:p>
            <w:pPr>
              <w:spacing w:before="60" w:after="60"/>
            </w:pPr>
            <w:r>
              <w:rPr>
                <w:rFonts w:ascii="Arial" w:hAnsi="Arial"/>
                <w:b w:val="0"/>
                <w:sz w:val="18"/>
              </w:rPr>
              <w:t>Minimal</w:t>
            </w:r>
          </w:p>
        </w:tc>
        <w:tc>
          <w:tcPr>
            <w:tcW w:type="dxa" w:w="1872"/>
            <w:shd w:val="clear" w:color="auto" w:fill="F5F8FF"/>
          </w:tcPr>
          <w:p>
            <w:pPr>
              <w:spacing w:before="60" w:after="60"/>
            </w:pPr>
            <w:r>
              <w:rPr>
                <w:rFonts w:ascii="Arial" w:hAnsi="Arial"/>
                <w:b w:val="0"/>
                <w:sz w:val="18"/>
              </w:rPr>
              <w:t>Basic</w:t>
            </w:r>
          </w:p>
        </w:tc>
        <w:tc>
          <w:tcPr>
            <w:tcW w:type="dxa" w:w="1872"/>
            <w:shd w:val="clear" w:color="auto" w:fill="F5F8FF"/>
          </w:tcPr>
          <w:p>
            <w:pPr>
              <w:spacing w:before="60" w:after="60"/>
            </w:pPr>
            <w:r>
              <w:rPr>
                <w:rFonts w:ascii="Arial" w:hAnsi="Arial"/>
                <w:b w:val="0"/>
                <w:sz w:val="18"/>
              </w:rPr>
              <w:t>None</w:t>
            </w:r>
          </w:p>
        </w:tc>
        <w:tc>
          <w:tcPr>
            <w:tcW w:type="dxa" w:w="1872"/>
            <w:shd w:val="clear" w:color="auto" w:fill="F5F8FF"/>
          </w:tcPr>
          <w:p>
            <w:pPr>
              <w:spacing w:before="60" w:after="60"/>
            </w:pPr>
            <w:r>
              <w:rPr>
                <w:rFonts w:ascii="Arial" w:hAnsi="Arial"/>
                <w:b w:val="0"/>
                <w:sz w:val="18"/>
              </w:rPr>
              <w:t>✓ Gap</w:t>
            </w:r>
          </w:p>
        </w:tc>
      </w:tr>
      <w:tr>
        <w:tc>
          <w:tcPr>
            <w:tcW w:type="dxa" w:w="1872"/>
          </w:tcPr>
          <w:p>
            <w:pPr>
              <w:spacing w:before="60" w:after="60"/>
            </w:pPr>
            <w:r>
              <w:rPr>
                <w:rFonts w:ascii="Arial" w:hAnsi="Arial"/>
                <w:b/>
                <w:sz w:val="18"/>
              </w:rPr>
              <w:t>Client Feedback Workflows</w:t>
            </w:r>
          </w:p>
        </w:tc>
        <w:tc>
          <w:tcPr>
            <w:tcW w:type="dxa" w:w="1872"/>
          </w:tcPr>
          <w:p>
            <w:pPr>
              <w:spacing w:before="60" w:after="60"/>
            </w:pPr>
            <w:r>
              <w:rPr>
                <w:rFonts w:ascii="Arial" w:hAnsi="Arial"/>
                <w:b w:val="0"/>
                <w:sz w:val="18"/>
              </w:rPr>
              <w:t>None</w:t>
            </w:r>
          </w:p>
        </w:tc>
        <w:tc>
          <w:tcPr>
            <w:tcW w:type="dxa" w:w="1872"/>
          </w:tcPr>
          <w:p>
            <w:pPr>
              <w:spacing w:before="60" w:after="60"/>
            </w:pPr>
            <w:r>
              <w:rPr>
                <w:rFonts w:ascii="Arial" w:hAnsi="Arial"/>
                <w:b w:val="0"/>
                <w:sz w:val="18"/>
              </w:rPr>
              <w:t>Basic</w:t>
            </w:r>
          </w:p>
        </w:tc>
        <w:tc>
          <w:tcPr>
            <w:tcW w:type="dxa" w:w="1872"/>
          </w:tcPr>
          <w:p>
            <w:pPr>
              <w:spacing w:before="60" w:after="60"/>
            </w:pPr>
            <w:r>
              <w:rPr>
                <w:rFonts w:ascii="Arial" w:hAnsi="Arial"/>
                <w:b w:val="0"/>
                <w:sz w:val="18"/>
              </w:rPr>
              <w:t>None</w:t>
            </w:r>
          </w:p>
        </w:tc>
        <w:tc>
          <w:tcPr>
            <w:tcW w:type="dxa" w:w="1872"/>
          </w:tcPr>
          <w:p>
            <w:pPr>
              <w:spacing w:before="60" w:after="60"/>
            </w:pPr>
            <w:r>
              <w:rPr>
                <w:rFonts w:ascii="Arial" w:hAnsi="Arial"/>
                <w:b w:val="0"/>
                <w:sz w:val="18"/>
              </w:rPr>
              <w:t>✓ Gap</w:t>
            </w:r>
          </w:p>
        </w:tc>
      </w:tr>
      <w:tr>
        <w:tc>
          <w:tcPr>
            <w:tcW w:type="dxa" w:w="1872"/>
            <w:shd w:val="clear" w:color="auto" w:fill="F5F8FF"/>
          </w:tcPr>
          <w:p>
            <w:pPr>
              <w:spacing w:before="60" w:after="60"/>
            </w:pPr>
            <w:r>
              <w:rPr>
                <w:rFonts w:ascii="Arial" w:hAnsi="Arial"/>
                <w:b/>
                <w:sz w:val="18"/>
              </w:rPr>
              <w:t>Reporting / BI Depth</w:t>
            </w:r>
          </w:p>
        </w:tc>
        <w:tc>
          <w:tcPr>
            <w:tcW w:type="dxa" w:w="1872"/>
            <w:shd w:val="clear" w:color="auto" w:fill="F5F8FF"/>
          </w:tcPr>
          <w:p>
            <w:pPr>
              <w:spacing w:before="60" w:after="60"/>
            </w:pPr>
            <w:r>
              <w:rPr>
                <w:rFonts w:ascii="Arial" w:hAnsi="Arial"/>
                <w:b w:val="0"/>
                <w:sz w:val="18"/>
              </w:rPr>
              <w:t>Weak</w:t>
            </w:r>
          </w:p>
        </w:tc>
        <w:tc>
          <w:tcPr>
            <w:tcW w:type="dxa" w:w="1872"/>
            <w:shd w:val="clear" w:color="auto" w:fill="F5F8FF"/>
          </w:tcPr>
          <w:p>
            <w:pPr>
              <w:spacing w:before="60" w:after="60"/>
            </w:pPr>
            <w:r>
              <w:rPr>
                <w:rFonts w:ascii="Arial" w:hAnsi="Arial"/>
                <w:b w:val="0"/>
                <w:sz w:val="18"/>
              </w:rPr>
              <w:t>Weak</w:t>
            </w:r>
          </w:p>
        </w:tc>
        <w:tc>
          <w:tcPr>
            <w:tcW w:type="dxa" w:w="1872"/>
            <w:shd w:val="clear" w:color="auto" w:fill="F5F8FF"/>
          </w:tcPr>
          <w:p>
            <w:pPr>
              <w:spacing w:before="60" w:after="60"/>
            </w:pPr>
            <w:r>
              <w:rPr>
                <w:rFonts w:ascii="Arial" w:hAnsi="Arial"/>
                <w:b w:val="0"/>
                <w:sz w:val="18"/>
              </w:rPr>
              <w:t>Add-on only</w:t>
            </w:r>
          </w:p>
        </w:tc>
        <w:tc>
          <w:tcPr>
            <w:tcW w:type="dxa" w:w="1872"/>
            <w:shd w:val="clear" w:color="auto" w:fill="F5F8FF"/>
          </w:tcPr>
          <w:p>
            <w:pPr>
              <w:spacing w:before="60" w:after="60"/>
            </w:pPr>
            <w:r>
              <w:rPr>
                <w:rFonts w:ascii="Arial" w:hAnsi="Arial"/>
                <w:b w:val="0"/>
                <w:sz w:val="18"/>
              </w:rPr>
              <w:t>✓ Gap</w:t>
            </w:r>
          </w:p>
        </w:tc>
      </w:tr>
      <w:tr>
        <w:tc>
          <w:tcPr>
            <w:tcW w:type="dxa" w:w="1872"/>
          </w:tcPr>
          <w:p>
            <w:pPr>
              <w:spacing w:before="60" w:after="60"/>
            </w:pPr>
            <w:r>
              <w:rPr>
                <w:rFonts w:ascii="Arial" w:hAnsi="Arial"/>
                <w:b/>
                <w:sz w:val="18"/>
              </w:rPr>
              <w:t>Data Visualization / Dashboards</w:t>
            </w:r>
          </w:p>
        </w:tc>
        <w:tc>
          <w:tcPr>
            <w:tcW w:type="dxa" w:w="1872"/>
          </w:tcPr>
          <w:p>
            <w:pPr>
              <w:spacing w:before="60" w:after="60"/>
            </w:pPr>
            <w:r>
              <w:rPr>
                <w:rFonts w:ascii="Arial" w:hAnsi="Arial"/>
                <w:b w:val="0"/>
                <w:sz w:val="18"/>
              </w:rPr>
              <w:t>Limited</w:t>
            </w:r>
          </w:p>
        </w:tc>
        <w:tc>
          <w:tcPr>
            <w:tcW w:type="dxa" w:w="1872"/>
          </w:tcPr>
          <w:p>
            <w:pPr>
              <w:spacing w:before="60" w:after="60"/>
            </w:pPr>
            <w:r>
              <w:rPr>
                <w:rFonts w:ascii="Arial" w:hAnsi="Arial"/>
                <w:b w:val="0"/>
                <w:sz w:val="18"/>
              </w:rPr>
              <w:t>Limited</w:t>
            </w:r>
          </w:p>
        </w:tc>
        <w:tc>
          <w:tcPr>
            <w:tcW w:type="dxa" w:w="1872"/>
          </w:tcPr>
          <w:p>
            <w:pPr>
              <w:spacing w:before="60" w:after="60"/>
            </w:pPr>
            <w:r>
              <w:rPr>
                <w:rFonts w:ascii="Arial" w:hAnsi="Arial"/>
                <w:b w:val="0"/>
                <w:sz w:val="18"/>
              </w:rPr>
              <w:t>Limited</w:t>
            </w:r>
          </w:p>
        </w:tc>
        <w:tc>
          <w:tcPr>
            <w:tcW w:type="dxa" w:w="1872"/>
          </w:tcPr>
          <w:p>
            <w:pPr>
              <w:spacing w:before="60" w:after="60"/>
            </w:pPr>
            <w:r>
              <w:rPr>
                <w:rFonts w:ascii="Arial" w:hAnsi="Arial"/>
                <w:b w:val="0"/>
                <w:sz w:val="18"/>
              </w:rPr>
              <w:t>✓ Gap</w:t>
            </w:r>
          </w:p>
        </w:tc>
      </w:tr>
      <w:tr>
        <w:tc>
          <w:tcPr>
            <w:tcW w:type="dxa" w:w="1872"/>
            <w:shd w:val="clear" w:color="auto" w:fill="F5F8FF"/>
          </w:tcPr>
          <w:p>
            <w:pPr>
              <w:spacing w:before="60" w:after="60"/>
            </w:pPr>
            <w:r>
              <w:rPr>
                <w:rFonts w:ascii="Arial" w:hAnsi="Arial"/>
                <w:b/>
                <w:sz w:val="18"/>
              </w:rPr>
              <w:t>Database / Record Richness</w:t>
            </w:r>
          </w:p>
        </w:tc>
        <w:tc>
          <w:tcPr>
            <w:tcW w:type="dxa" w:w="1872"/>
            <w:shd w:val="clear" w:color="auto" w:fill="F5F8FF"/>
          </w:tcPr>
          <w:p>
            <w:pPr>
              <w:spacing w:before="60" w:after="60"/>
            </w:pPr>
            <w:r>
              <w:rPr>
                <w:rFonts w:ascii="Arial" w:hAnsi="Arial"/>
                <w:b w:val="0"/>
                <w:sz w:val="18"/>
              </w:rPr>
              <w:t>Strong</w:t>
            </w:r>
          </w:p>
        </w:tc>
        <w:tc>
          <w:tcPr>
            <w:tcW w:type="dxa" w:w="1872"/>
            <w:shd w:val="clear" w:color="auto" w:fill="F5F8FF"/>
          </w:tcPr>
          <w:p>
            <w:pPr>
              <w:spacing w:before="60" w:after="60"/>
            </w:pPr>
            <w:r>
              <w:rPr>
                <w:rFonts w:ascii="Arial" w:hAnsi="Arial"/>
                <w:b w:val="0"/>
                <w:sz w:val="18"/>
              </w:rPr>
              <w:t>Moderate</w:t>
            </w:r>
          </w:p>
        </w:tc>
        <w:tc>
          <w:tcPr>
            <w:tcW w:type="dxa" w:w="1872"/>
            <w:shd w:val="clear" w:color="auto" w:fill="F5F8FF"/>
          </w:tcPr>
          <w:p>
            <w:pPr>
              <w:spacing w:before="60" w:after="60"/>
            </w:pPr>
            <w:r>
              <w:rPr>
                <w:rFonts w:ascii="Arial" w:hAnsi="Arial"/>
                <w:b w:val="0"/>
                <w:sz w:val="18"/>
              </w:rPr>
              <w:t>Moderate</w:t>
            </w:r>
          </w:p>
        </w:tc>
        <w:tc>
          <w:tcPr>
            <w:tcW w:type="dxa" w:w="1872"/>
            <w:shd w:val="clear" w:color="auto" w:fill="F5F8FF"/>
          </w:tcPr>
          <w:p>
            <w:pPr>
              <w:spacing w:before="60" w:after="60"/>
            </w:pPr>
            <w:r>
              <w:rPr>
                <w:rFonts w:ascii="Arial" w:hAnsi="Arial"/>
                <w:b w:val="0"/>
                <w:sz w:val="18"/>
              </w:rPr>
              <w:t>—</w:t>
            </w:r>
          </w:p>
        </w:tc>
      </w:tr>
      <w:tr>
        <w:tc>
          <w:tcPr>
            <w:tcW w:type="dxa" w:w="1872"/>
          </w:tcPr>
          <w:p>
            <w:pPr>
              <w:spacing w:before="60" w:after="60"/>
            </w:pPr>
            <w:r>
              <w:rPr>
                <w:rFonts w:ascii="Arial" w:hAnsi="Arial"/>
                <w:b/>
                <w:sz w:val="18"/>
              </w:rPr>
              <w:t>Candidate Scoring / Ranking</w:t>
            </w:r>
          </w:p>
        </w:tc>
        <w:tc>
          <w:tcPr>
            <w:tcW w:type="dxa" w:w="1872"/>
          </w:tcPr>
          <w:p>
            <w:pPr>
              <w:spacing w:before="60" w:after="60"/>
            </w:pPr>
            <w:r>
              <w:rPr>
                <w:rFonts w:ascii="Arial" w:hAnsi="Arial"/>
                <w:b w:val="0"/>
                <w:sz w:val="18"/>
              </w:rPr>
              <w:t>Moderate</w:t>
            </w:r>
          </w:p>
        </w:tc>
        <w:tc>
          <w:tcPr>
            <w:tcW w:type="dxa" w:w="1872"/>
          </w:tcPr>
          <w:p>
            <w:pPr>
              <w:spacing w:before="60" w:after="60"/>
            </w:pPr>
            <w:r>
              <w:rPr>
                <w:rFonts w:ascii="Arial" w:hAnsi="Arial"/>
                <w:b w:val="0"/>
                <w:sz w:val="18"/>
              </w:rPr>
              <w:t>Moderate</w:t>
            </w:r>
          </w:p>
        </w:tc>
        <w:tc>
          <w:tcPr>
            <w:tcW w:type="dxa" w:w="1872"/>
          </w:tcPr>
          <w:p>
            <w:pPr>
              <w:spacing w:before="60" w:after="60"/>
            </w:pPr>
            <w:r>
              <w:rPr>
                <w:rFonts w:ascii="Arial" w:hAnsi="Arial"/>
                <w:b w:val="0"/>
                <w:sz w:val="18"/>
              </w:rPr>
              <w:t>Moderate</w:t>
            </w:r>
          </w:p>
        </w:tc>
        <w:tc>
          <w:tcPr>
            <w:tcW w:type="dxa" w:w="1872"/>
          </w:tcPr>
          <w:p>
            <w:pPr>
              <w:spacing w:before="60" w:after="60"/>
            </w:pPr>
            <w:r>
              <w:rPr>
                <w:rFonts w:ascii="Arial" w:hAnsi="Arial"/>
                <w:b w:val="0"/>
                <w:sz w:val="18"/>
              </w:rPr>
              <w:t>✓ Gap</w:t>
            </w:r>
          </w:p>
        </w:tc>
      </w:tr>
      <w:tr>
        <w:tc>
          <w:tcPr>
            <w:tcW w:type="dxa" w:w="1872"/>
            <w:shd w:val="clear" w:color="auto" w:fill="F5F8FF"/>
          </w:tcPr>
          <w:p>
            <w:pPr>
              <w:spacing w:before="60" w:after="60"/>
            </w:pPr>
            <w:r>
              <w:rPr>
                <w:rFonts w:ascii="Arial" w:hAnsi="Arial"/>
                <w:b/>
                <w:sz w:val="18"/>
              </w:rPr>
              <w:t>Mobile Experience</w:t>
            </w:r>
          </w:p>
        </w:tc>
        <w:tc>
          <w:tcPr>
            <w:tcW w:type="dxa" w:w="1872"/>
            <w:shd w:val="clear" w:color="auto" w:fill="F5F8FF"/>
          </w:tcPr>
          <w:p>
            <w:pPr>
              <w:spacing w:before="60" w:after="60"/>
            </w:pPr>
            <w:r>
              <w:rPr>
                <w:rFonts w:ascii="Arial" w:hAnsi="Arial"/>
                <w:b w:val="0"/>
                <w:sz w:val="18"/>
              </w:rPr>
              <w:t>Weak</w:t>
            </w:r>
          </w:p>
        </w:tc>
        <w:tc>
          <w:tcPr>
            <w:tcW w:type="dxa" w:w="1872"/>
            <w:shd w:val="clear" w:color="auto" w:fill="F5F8FF"/>
          </w:tcPr>
          <w:p>
            <w:pPr>
              <w:spacing w:before="60" w:after="60"/>
            </w:pPr>
            <w:r>
              <w:rPr>
                <w:rFonts w:ascii="Arial" w:hAnsi="Arial"/>
                <w:b w:val="0"/>
                <w:sz w:val="18"/>
              </w:rPr>
              <w:t>Moderate</w:t>
            </w:r>
          </w:p>
        </w:tc>
        <w:tc>
          <w:tcPr>
            <w:tcW w:type="dxa" w:w="1872"/>
            <w:shd w:val="clear" w:color="auto" w:fill="F5F8FF"/>
          </w:tcPr>
          <w:p>
            <w:pPr>
              <w:spacing w:before="60" w:after="60"/>
            </w:pPr>
            <w:r>
              <w:rPr>
                <w:rFonts w:ascii="Arial" w:hAnsi="Arial"/>
                <w:b w:val="0"/>
                <w:sz w:val="18"/>
              </w:rPr>
              <w:t>Strong</w:t>
            </w:r>
          </w:p>
        </w:tc>
        <w:tc>
          <w:tcPr>
            <w:tcW w:type="dxa" w:w="1872"/>
            <w:shd w:val="clear" w:color="auto" w:fill="F5F8FF"/>
          </w:tcPr>
          <w:p>
            <w:pPr>
              <w:spacing w:before="60" w:after="60"/>
            </w:pPr>
            <w:r>
              <w:rPr>
                <w:rFonts w:ascii="Arial" w:hAnsi="Arial"/>
                <w:b w:val="0"/>
                <w:sz w:val="18"/>
              </w:rPr>
              <w:t>—</w:t>
            </w:r>
          </w:p>
        </w:tc>
      </w:tr>
      <w:tr>
        <w:tc>
          <w:tcPr>
            <w:tcW w:type="dxa" w:w="1872"/>
          </w:tcPr>
          <w:p>
            <w:pPr>
              <w:spacing w:before="60" w:after="60"/>
            </w:pPr>
            <w:r>
              <w:rPr>
                <w:rFonts w:ascii="Arial" w:hAnsi="Arial"/>
                <w:b/>
                <w:sz w:val="18"/>
              </w:rPr>
              <w:t>Integrations / Ecosystem</w:t>
            </w:r>
          </w:p>
        </w:tc>
        <w:tc>
          <w:tcPr>
            <w:tcW w:type="dxa" w:w="1872"/>
          </w:tcPr>
          <w:p>
            <w:pPr>
              <w:spacing w:before="60" w:after="60"/>
            </w:pPr>
            <w:r>
              <w:rPr>
                <w:rFonts w:ascii="Arial" w:hAnsi="Arial"/>
                <w:b w:val="0"/>
                <w:sz w:val="18"/>
              </w:rPr>
              <w:t>Moderate</w:t>
            </w:r>
          </w:p>
        </w:tc>
        <w:tc>
          <w:tcPr>
            <w:tcW w:type="dxa" w:w="1872"/>
          </w:tcPr>
          <w:p>
            <w:pPr>
              <w:spacing w:before="60" w:after="60"/>
            </w:pPr>
            <w:r>
              <w:rPr>
                <w:rFonts w:ascii="Arial" w:hAnsi="Arial"/>
                <w:b w:val="0"/>
                <w:sz w:val="18"/>
              </w:rPr>
              <w:t>Moderate</w:t>
            </w:r>
          </w:p>
        </w:tc>
        <w:tc>
          <w:tcPr>
            <w:tcW w:type="dxa" w:w="1872"/>
          </w:tcPr>
          <w:p>
            <w:pPr>
              <w:spacing w:before="60" w:after="60"/>
            </w:pPr>
            <w:r>
              <w:rPr>
                <w:rFonts w:ascii="Arial" w:hAnsi="Arial"/>
                <w:b w:val="0"/>
                <w:sz w:val="18"/>
              </w:rPr>
              <w:t>Strong</w:t>
            </w:r>
          </w:p>
        </w:tc>
        <w:tc>
          <w:tcPr>
            <w:tcW w:type="dxa" w:w="1872"/>
          </w:tcPr>
          <w:p>
            <w:pPr>
              <w:spacing w:before="60" w:after="60"/>
            </w:pPr>
            <w:r>
              <w:rPr>
                <w:rFonts w:ascii="Arial" w:hAnsi="Arial"/>
                <w:b w:val="0"/>
                <w:sz w:val="18"/>
              </w:rPr>
              <w:t>—</w:t>
            </w:r>
          </w:p>
        </w:tc>
      </w:tr>
      <w:tr>
        <w:tc>
          <w:tcPr>
            <w:tcW w:type="dxa" w:w="1872"/>
            <w:shd w:val="clear" w:color="auto" w:fill="F5F8FF"/>
          </w:tcPr>
          <w:p>
            <w:pPr>
              <w:spacing w:before="60" w:after="60"/>
            </w:pPr>
            <w:r>
              <w:rPr>
                <w:rFonts w:ascii="Arial" w:hAnsi="Arial"/>
                <w:b/>
                <w:sz w:val="18"/>
              </w:rPr>
              <w:t>Pricing (per user/mo)</w:t>
            </w:r>
          </w:p>
        </w:tc>
        <w:tc>
          <w:tcPr>
            <w:tcW w:type="dxa" w:w="1872"/>
            <w:shd w:val="clear" w:color="auto" w:fill="F5F8FF"/>
          </w:tcPr>
          <w:p>
            <w:pPr>
              <w:spacing w:before="60" w:after="60"/>
            </w:pPr>
            <w:r>
              <w:rPr>
                <w:rFonts w:ascii="Arial" w:hAnsi="Arial"/>
                <w:b w:val="0"/>
                <w:sz w:val="18"/>
              </w:rPr>
              <w:t>~$119</w:t>
            </w:r>
          </w:p>
        </w:tc>
        <w:tc>
          <w:tcPr>
            <w:tcW w:type="dxa" w:w="1872"/>
            <w:shd w:val="clear" w:color="auto" w:fill="F5F8FF"/>
          </w:tcPr>
          <w:p>
            <w:pPr>
              <w:spacing w:before="60" w:after="60"/>
            </w:pPr>
            <w:r>
              <w:rPr>
                <w:rFonts w:ascii="Arial" w:hAnsi="Arial"/>
                <w:b w:val="0"/>
                <w:sz w:val="18"/>
              </w:rPr>
              <w:t>~$89</w:t>
            </w:r>
          </w:p>
        </w:tc>
        <w:tc>
          <w:tcPr>
            <w:tcW w:type="dxa" w:w="1872"/>
            <w:shd w:val="clear" w:color="auto" w:fill="F5F8FF"/>
          </w:tcPr>
          <w:p>
            <w:pPr>
              <w:spacing w:before="60" w:after="60"/>
            </w:pPr>
            <w:r>
              <w:rPr>
                <w:rFonts w:ascii="Arial" w:hAnsi="Arial"/>
                <w:b w:val="0"/>
                <w:sz w:val="18"/>
              </w:rPr>
              <w:t>Custom/High</w:t>
            </w:r>
          </w:p>
        </w:tc>
        <w:tc>
          <w:tcPr>
            <w:tcW w:type="dxa" w:w="1872"/>
            <w:shd w:val="clear" w:color="auto" w:fill="F5F8FF"/>
          </w:tcPr>
          <w:p>
            <w:pPr>
              <w:spacing w:before="60" w:after="60"/>
            </w:pPr>
            <w:r>
              <w:rPr>
                <w:rFonts w:ascii="Arial" w:hAnsi="Arial"/>
                <w:b w:val="0"/>
                <w:sz w:val="18"/>
              </w:rPr>
              <w:t>—</w:t>
            </w:r>
          </w:p>
        </w:tc>
      </w:tr>
    </w:tbl>
    <w:p/>
    <w:p>
      <w:pPr>
        <w:spacing w:before="280" w:after="80"/>
      </w:pPr>
      <w:r>
        <w:rPr>
          <w:rFonts w:ascii="Arial" w:hAnsi="Arial"/>
          <w:b/>
          <w:color w:val="1E50A0"/>
          <w:sz w:val="32"/>
        </w:rPr>
        <w:t>3. White Space: Where the Market Is Underserved</w:t>
      </w:r>
    </w:p>
    <w:p>
      <w:pPr>
        <w:spacing w:before="0" w:after="80"/>
      </w:pPr>
      <w:r>
        <w:rPr>
          <w:rFonts w:ascii="Arial" w:hAnsi="Arial"/>
          <w:b w:val="0"/>
          <w:sz w:val="20"/>
        </w:rPr>
        <w:t>Five structural gaps exist across all three incumbents. These aren't minor polish issues — they represent category-level opportunities to build a product that agency recruiters and their clients will actively prefer.</w:t>
      </w:r>
    </w:p>
    <w:p>
      <w:pPr>
        <w:spacing w:before="200" w:after="80"/>
      </w:pPr>
      <w:r>
        <w:rPr>
          <w:rFonts w:ascii="Arial" w:hAnsi="Arial"/>
          <w:b/>
          <w:color w:val="1464B4"/>
          <w:sz w:val="26"/>
        </w:rPr>
        <w:t>Gap 1: The Client Portal is an Afterthought</w:t>
      </w:r>
    </w:p>
    <w:p>
      <w:pPr>
        <w:spacing w:before="0" w:after="80"/>
      </w:pPr>
      <w:r>
        <w:rPr>
          <w:rFonts w:ascii="Arial" w:hAnsi="Arial"/>
          <w:b w:val="0"/>
          <w:sz w:val="20"/>
        </w:rPr>
        <w:t>Crelate has the only real client portal in this group, and even that is basic. Clients receive submitted candidate profiles — often via email — and provide feedback via reply chains or manual notes. There is no structured scoring, no side-by-side comparison, no async video or annotation layer, and no audit trail of feedback for recruiter learning. This is arguably the #1 friction point in agency-client relationships. A purpose-built, white-labeled client collaboration hub would be a decisive differentiator.</w:t>
      </w:r>
    </w:p>
    <w:p/>
    <w:p>
      <w:pPr>
        <w:spacing w:before="200" w:after="80"/>
      </w:pPr>
      <w:r>
        <w:rPr>
          <w:rFonts w:ascii="Arial" w:hAnsi="Arial"/>
          <w:b/>
          <w:color w:val="1464B4"/>
          <w:sz w:val="26"/>
        </w:rPr>
        <w:t>Gap 2: Funnel Visualization Is Primitive</w:t>
      </w:r>
    </w:p>
    <w:p>
      <w:pPr>
        <w:spacing w:before="0" w:after="80"/>
      </w:pPr>
      <w:r>
        <w:rPr>
          <w:rFonts w:ascii="Arial" w:hAnsi="Arial"/>
          <w:b w:val="0"/>
          <w:sz w:val="20"/>
        </w:rPr>
        <w:t>None of the three platforms offer intuitive, real-time funnel visualization that maps candidate movement from source through submission, interview stages, offer, and placement. What exists is table-based and static. A visual funnel layer — with configurable stage definitions, drop-off analytics, and time-in-stage tracking — would give agency leaders the operational intelligence to coach recruiters and diagnose process breakdowns.</w:t>
      </w:r>
    </w:p>
    <w:p/>
    <w:p>
      <w:pPr>
        <w:spacing w:before="200" w:after="80"/>
      </w:pPr>
      <w:r>
        <w:rPr>
          <w:rFonts w:ascii="Arial" w:hAnsi="Arial"/>
          <w:b/>
          <w:color w:val="1464B4"/>
          <w:sz w:val="26"/>
        </w:rPr>
        <w:t>Gap 3: Reporting &amp; BI Are Table Stakes Done Badly</w:t>
      </w:r>
    </w:p>
    <w:p>
      <w:pPr>
        <w:spacing w:before="0" w:after="80"/>
      </w:pPr>
      <w:r>
        <w:rPr>
          <w:rFonts w:ascii="Arial" w:hAnsi="Arial"/>
          <w:b w:val="0"/>
          <w:sz w:val="20"/>
        </w:rPr>
        <w:t>Every single platform has weak or add-on reporting. Agency owners and ops leaders want real answers: Where are placements stalling? Which clients have the best close rates? What's the average time-to-fill by job type? These questions require BI-grade tooling — not canned reports. An embeddable, configurable analytics layer (think Looker-lite, baked into the product) would directly address a top user complaint across all three.</w:t>
      </w:r>
    </w:p>
    <w:p/>
    <w:p>
      <w:pPr>
        <w:spacing w:before="200" w:after="80"/>
      </w:pPr>
      <w:r>
        <w:rPr>
          <w:rFonts w:ascii="Arial" w:hAnsi="Arial"/>
          <w:b/>
          <w:color w:val="1464B4"/>
          <w:sz w:val="26"/>
        </w:rPr>
        <w:t>Gap 4: Stage Mapping Is Rigid and Non-Portable</w:t>
      </w:r>
    </w:p>
    <w:p>
      <w:pPr>
        <w:spacing w:before="0" w:after="80"/>
      </w:pPr>
      <w:r>
        <w:rPr>
          <w:rFonts w:ascii="Arial" w:hAnsi="Arial"/>
          <w:b w:val="0"/>
          <w:sz w:val="20"/>
        </w:rPr>
        <w:t>Agencies work across multiple clients, each with their own hiring stages and vocabulary. No platform allows clean mapping between the agency's internal pipeline stages and each client's custom process. This forces manual workarounds or parallel spreadsheets. A flexible stage-mapping layer — where the agency defines a master stage schema and maps client-specific stages to it — would eliminate a painful operational bottleneck.</w:t>
      </w:r>
    </w:p>
    <w:p/>
    <w:p>
      <w:pPr>
        <w:spacing w:before="200" w:after="80"/>
      </w:pPr>
      <w:r>
        <w:rPr>
          <w:rFonts w:ascii="Arial" w:hAnsi="Arial"/>
          <w:b/>
          <w:color w:val="1464B4"/>
          <w:sz w:val="26"/>
        </w:rPr>
        <w:t>Gap 5: Database Architecture Doesn't Serve Long-Term Relationship Intelligence</w:t>
      </w:r>
    </w:p>
    <w:p>
      <w:pPr>
        <w:spacing w:before="0" w:after="80"/>
      </w:pPr>
      <w:r>
        <w:rPr>
          <w:rFonts w:ascii="Arial" w:hAnsi="Arial"/>
          <w:b w:val="0"/>
          <w:sz w:val="20"/>
        </w:rPr>
        <w:t>Recruiting is a relationship business. The best agencies maintain 10+ year relationships with both candidates and hiring managers. Current ATS databases are adequate for transactional tracking but poor at relationship graph modeling — who knows whom, who has referred whom, which candidates have become hiring managers. A richer record architecture that treats contacts as nodes in a relationship graph (not just rows in a table) would be a meaningful long-term moat.</w:t>
      </w:r>
    </w:p>
    <w:p/>
    <w:p>
      <w:pPr>
        <w:spacing w:before="280" w:after="80"/>
      </w:pPr>
      <w:r>
        <w:rPr>
          <w:rFonts w:ascii="Arial" w:hAnsi="Arial"/>
          <w:b/>
          <w:color w:val="1E50A0"/>
          <w:sz w:val="32"/>
        </w:rPr>
        <w:t>4. Product Vision &amp; Core Feature Pillars</w:t>
      </w:r>
    </w:p>
    <w:p>
      <w:pPr>
        <w:spacing w:before="120" w:after="120"/>
        <w:ind w:left="288" w:right="288"/>
        <w:shd w:val="clear" w:color="auto" w:fill="EBF3FB"/>
      </w:pPr>
      <w:r>
        <w:rPr>
          <w:rFonts w:ascii="Arial" w:hAnsi="Arial"/>
          <w:b/>
          <w:color w:val="1E50A0"/>
          <w:sz w:val="20"/>
        </w:rPr>
        <w:t xml:space="preserve">Vision:  </w:t>
      </w:r>
      <w:r>
        <w:rPr>
          <w:rFonts w:ascii="Arial" w:hAnsi="Arial"/>
          <w:b w:val="0"/>
          <w:sz w:val="20"/>
        </w:rPr>
        <w:t>Build the ATS that agency recruiters wish existed: operationally intelligent, client-transparent, and built on a data architecture worthy of the relationships this industry runs on.</w:t>
      </w:r>
    </w:p>
    <w:p/>
    <w:p>
      <w:pPr>
        <w:spacing w:before="200" w:after="80"/>
      </w:pPr>
      <w:r>
        <w:rPr>
          <w:rFonts w:ascii="Arial" w:hAnsi="Arial"/>
          <w:b/>
          <w:color w:val="1464B4"/>
          <w:sz w:val="26"/>
        </w:rPr>
        <w:t>Pillar 1: Intelligent Database &amp; Record Architecture</w:t>
      </w:r>
    </w:p>
    <w:p>
      <w:pPr>
        <w:pStyle w:val="ListBullet"/>
        <w:spacing w:before="20" w:after="20"/>
        <w:ind w:left="432"/>
      </w:pPr>
      <w:r>
        <w:rPr>
          <w:rFonts w:ascii="Arial" w:hAnsi="Arial"/>
          <w:b w:val="0"/>
          <w:sz w:val="20"/>
        </w:rPr>
        <w:t>Rich candidate profiles: work history graph, relationship connections, tag taxonomy, enrichment history</w:t>
      </w:r>
    </w:p>
    <w:p>
      <w:pPr>
        <w:pStyle w:val="ListBullet"/>
        <w:spacing w:before="20" w:after="20"/>
        <w:ind w:left="432"/>
      </w:pPr>
      <w:r>
        <w:rPr>
          <w:rFonts w:ascii="Arial" w:hAnsi="Arial"/>
          <w:b w:val="0"/>
          <w:sz w:val="20"/>
        </w:rPr>
        <w:t>Company/contact hierarchy: org charts, multi-contact relationships per company, client-candidate overlap detection</w:t>
      </w:r>
    </w:p>
    <w:p>
      <w:pPr>
        <w:pStyle w:val="ListBullet"/>
        <w:spacing w:before="20" w:after="20"/>
        <w:ind w:left="432"/>
      </w:pPr>
      <w:r>
        <w:rPr>
          <w:rFonts w:ascii="Arial" w:hAnsi="Arial"/>
          <w:b w:val="0"/>
          <w:sz w:val="20"/>
        </w:rPr>
        <w:t>Duplicate detection and merge engine — keep one source of truth across the lifecycle</w:t>
      </w:r>
    </w:p>
    <w:p>
      <w:pPr>
        <w:pStyle w:val="ListBullet"/>
        <w:spacing w:before="20" w:after="20"/>
        <w:ind w:left="432"/>
      </w:pPr>
      <w:r>
        <w:rPr>
          <w:rFonts w:ascii="Arial" w:hAnsi="Arial"/>
          <w:b w:val="0"/>
          <w:sz w:val="20"/>
        </w:rPr>
        <w:t>Activity timeline: every touchpoint (email, call, submission, placement) in chronological context</w:t>
      </w:r>
    </w:p>
    <w:p>
      <w:pPr>
        <w:pStyle w:val="ListBullet"/>
        <w:spacing w:before="20" w:after="20"/>
        <w:ind w:left="432"/>
      </w:pPr>
      <w:r>
        <w:rPr>
          <w:rFonts w:ascii="Arial" w:hAnsi="Arial"/>
          <w:b w:val="0"/>
          <w:sz w:val="20"/>
        </w:rPr>
        <w:t>Relationship graph: who referred whom, candidate-turned-hiring-manager detection, alumni tracking</w:t>
      </w:r>
    </w:p>
    <w:p/>
    <w:p>
      <w:pPr>
        <w:spacing w:before="200" w:after="80"/>
      </w:pPr>
      <w:r>
        <w:rPr>
          <w:rFonts w:ascii="Arial" w:hAnsi="Arial"/>
          <w:b/>
          <w:color w:val="1464B4"/>
          <w:sz w:val="26"/>
        </w:rPr>
        <w:t>Pillar 2: Funnel Visualization &amp; Stage Intelligence</w:t>
      </w:r>
    </w:p>
    <w:p>
      <w:pPr>
        <w:pStyle w:val="ListBullet"/>
        <w:spacing w:before="20" w:after="20"/>
        <w:ind w:left="432"/>
      </w:pPr>
      <w:r>
        <w:rPr>
          <w:rFonts w:ascii="Arial" w:hAnsi="Arial"/>
          <w:b w:val="0"/>
          <w:sz w:val="20"/>
        </w:rPr>
        <w:t>Visual Kanban + funnel hybrid view for each active search/requisition</w:t>
      </w:r>
    </w:p>
    <w:p>
      <w:pPr>
        <w:pStyle w:val="ListBullet"/>
        <w:spacing w:before="20" w:after="20"/>
        <w:ind w:left="432"/>
      </w:pPr>
      <w:r>
        <w:rPr>
          <w:rFonts w:ascii="Arial" w:hAnsi="Arial"/>
          <w:b w:val="0"/>
          <w:sz w:val="20"/>
        </w:rPr>
        <w:t>Configurable stage definitions per requisition (not forced into a global pipeline)</w:t>
      </w:r>
    </w:p>
    <w:p>
      <w:pPr>
        <w:pStyle w:val="ListBullet"/>
        <w:spacing w:before="20" w:after="20"/>
        <w:ind w:left="432"/>
      </w:pPr>
      <w:r>
        <w:rPr>
          <w:rFonts w:ascii="Arial" w:hAnsi="Arial"/>
          <w:b w:val="0"/>
          <w:sz w:val="20"/>
        </w:rPr>
        <w:t>Time-in-stage tracking with aging alerts to prevent pipeline rot</w:t>
      </w:r>
    </w:p>
    <w:p>
      <w:pPr>
        <w:pStyle w:val="ListBullet"/>
        <w:spacing w:before="20" w:after="20"/>
        <w:ind w:left="432"/>
      </w:pPr>
      <w:r>
        <w:rPr>
          <w:rFonts w:ascii="Arial" w:hAnsi="Arial"/>
          <w:b w:val="0"/>
          <w:sz w:val="20"/>
        </w:rPr>
        <w:t>Drop-off analytics: where candidates fall out, by stage, by client, by job type</w:t>
      </w:r>
    </w:p>
    <w:p>
      <w:pPr>
        <w:pStyle w:val="ListBullet"/>
        <w:spacing w:before="20" w:after="20"/>
        <w:ind w:left="432"/>
      </w:pPr>
      <w:r>
        <w:rPr>
          <w:rFonts w:ascii="Arial" w:hAnsi="Arial"/>
          <w:b w:val="0"/>
          <w:sz w:val="20"/>
        </w:rPr>
        <w:t>Funnel health scores per recruiter and per req — operational coaching layer for managers</w:t>
      </w:r>
    </w:p>
    <w:p/>
    <w:p>
      <w:pPr>
        <w:spacing w:before="200" w:after="80"/>
      </w:pPr>
      <w:r>
        <w:rPr>
          <w:rFonts w:ascii="Arial" w:hAnsi="Arial"/>
          <w:b/>
          <w:color w:val="1464B4"/>
          <w:sz w:val="26"/>
        </w:rPr>
        <w:t>Pillar 3: Flexible Workflow Engine</w:t>
      </w:r>
    </w:p>
    <w:p>
      <w:pPr>
        <w:pStyle w:val="ListBullet"/>
        <w:spacing w:before="20" w:after="20"/>
        <w:ind w:left="432"/>
      </w:pPr>
      <w:r>
        <w:rPr>
          <w:rFonts w:ascii="Arial" w:hAnsi="Arial"/>
          <w:b w:val="0"/>
          <w:sz w:val="20"/>
        </w:rPr>
        <w:t>Visual workflow builder: trigger → condition → action (no-code, drag-and-drop)</w:t>
      </w:r>
    </w:p>
    <w:p>
      <w:pPr>
        <w:pStyle w:val="ListBullet"/>
        <w:spacing w:before="20" w:after="20"/>
        <w:ind w:left="432"/>
      </w:pPr>
      <w:r>
        <w:rPr>
          <w:rFonts w:ascii="Arial" w:hAnsi="Arial"/>
          <w:b w:val="0"/>
          <w:sz w:val="20"/>
        </w:rPr>
        <w:t>Automation recipes for common flows: outreach sequences, follow-up nudges, status updates</w:t>
      </w:r>
    </w:p>
    <w:p>
      <w:pPr>
        <w:pStyle w:val="ListBullet"/>
        <w:spacing w:before="20" w:after="20"/>
        <w:ind w:left="432"/>
      </w:pPr>
      <w:r>
        <w:rPr>
          <w:rFonts w:ascii="Arial" w:hAnsi="Arial"/>
          <w:b w:val="0"/>
          <w:sz w:val="20"/>
        </w:rPr>
        <w:t>Per-client workflow templates: each client's process represented as a first-class object</w:t>
      </w:r>
    </w:p>
    <w:p>
      <w:pPr>
        <w:pStyle w:val="ListBullet"/>
        <w:spacing w:before="20" w:after="20"/>
        <w:ind w:left="432"/>
      </w:pPr>
      <w:r>
        <w:rPr>
          <w:rFonts w:ascii="Arial" w:hAnsi="Arial"/>
          <w:b w:val="0"/>
          <w:sz w:val="20"/>
        </w:rPr>
        <w:t>Stage-mapping layer: map internal pipeline stages to each client's custom stage vocabulary</w:t>
      </w:r>
    </w:p>
    <w:p>
      <w:pPr>
        <w:pStyle w:val="ListBullet"/>
        <w:spacing w:before="20" w:after="20"/>
        <w:ind w:left="432"/>
      </w:pPr>
      <w:r>
        <w:rPr>
          <w:rFonts w:ascii="Arial" w:hAnsi="Arial"/>
          <w:b w:val="0"/>
          <w:sz w:val="20"/>
        </w:rPr>
        <w:t>SLA enforcement: configurable time-based alerts when steps are missed or delayed</w:t>
      </w:r>
    </w:p>
    <w:p/>
    <w:p>
      <w:pPr>
        <w:spacing w:before="200" w:after="80"/>
      </w:pPr>
      <w:r>
        <w:rPr>
          <w:rFonts w:ascii="Arial" w:hAnsi="Arial"/>
          <w:b/>
          <w:color w:val="1464B4"/>
          <w:sz w:val="26"/>
        </w:rPr>
        <w:t>Pillar 4: Client Portal — The Collaboration Hub</w:t>
      </w:r>
    </w:p>
    <w:p>
      <w:pPr>
        <w:pStyle w:val="ListBullet"/>
        <w:spacing w:before="20" w:after="20"/>
        <w:ind w:left="432"/>
      </w:pPr>
      <w:r>
        <w:rPr>
          <w:rFonts w:ascii="Arial" w:hAnsi="Arial"/>
          <w:b w:val="0"/>
          <w:sz w:val="20"/>
        </w:rPr>
        <w:t>White-labeled, branded portal per client (custom subdomain + logo)</w:t>
      </w:r>
    </w:p>
    <w:p>
      <w:pPr>
        <w:pStyle w:val="ListBullet"/>
        <w:spacing w:before="20" w:after="20"/>
        <w:ind w:left="432"/>
      </w:pPr>
      <w:r>
        <w:rPr>
          <w:rFonts w:ascii="Arial" w:hAnsi="Arial"/>
          <w:b w:val="0"/>
          <w:sz w:val="20"/>
        </w:rPr>
        <w:t>Structured candidate submission with profile cards: bio, resume, video intro, scorecards</w:t>
      </w:r>
    </w:p>
    <w:p>
      <w:pPr>
        <w:pStyle w:val="ListBullet"/>
        <w:spacing w:before="20" w:after="20"/>
        <w:ind w:left="432"/>
      </w:pPr>
      <w:r>
        <w:rPr>
          <w:rFonts w:ascii="Arial" w:hAnsi="Arial"/>
          <w:b w:val="0"/>
          <w:sz w:val="20"/>
        </w:rPr>
        <w:t>Client feedback workflows: approve / hold / decline with structured comments, not just free text</w:t>
      </w:r>
    </w:p>
    <w:p>
      <w:pPr>
        <w:pStyle w:val="ListBullet"/>
        <w:spacing w:before="20" w:after="20"/>
        <w:ind w:left="432"/>
      </w:pPr>
      <w:r>
        <w:rPr>
          <w:rFonts w:ascii="Arial" w:hAnsi="Arial"/>
          <w:b w:val="0"/>
          <w:sz w:val="20"/>
        </w:rPr>
        <w:t>Side-by-side candidate comparison view — let clients rank and stack against each other</w:t>
      </w:r>
    </w:p>
    <w:p>
      <w:pPr>
        <w:pStyle w:val="ListBullet"/>
        <w:spacing w:before="20" w:after="20"/>
        <w:ind w:left="432"/>
      </w:pPr>
      <w:r>
        <w:rPr>
          <w:rFonts w:ascii="Arial" w:hAnsi="Arial"/>
          <w:b w:val="0"/>
          <w:sz w:val="20"/>
        </w:rPr>
        <w:t>Audit trail: all client feedback captured and surfaced to the recruiter in real time</w:t>
      </w:r>
    </w:p>
    <w:p>
      <w:pPr>
        <w:pStyle w:val="ListBullet"/>
        <w:spacing w:before="20" w:after="20"/>
        <w:ind w:left="432"/>
      </w:pPr>
      <w:r>
        <w:rPr>
          <w:rFonts w:ascii="Arial" w:hAnsi="Arial"/>
          <w:b w:val="0"/>
          <w:sz w:val="20"/>
        </w:rPr>
        <w:t>Interview scheduling initiation from within the portal</w:t>
      </w:r>
    </w:p>
    <w:p>
      <w:pPr>
        <w:pStyle w:val="ListBullet"/>
        <w:spacing w:before="20" w:after="20"/>
        <w:ind w:left="432"/>
      </w:pPr>
      <w:r>
        <w:rPr>
          <w:rFonts w:ascii="Arial" w:hAnsi="Arial"/>
          <w:b w:val="0"/>
          <w:sz w:val="20"/>
        </w:rPr>
        <w:t>Notification system: email + in-portal alerts when new profiles arrive</w:t>
      </w:r>
    </w:p>
    <w:p/>
    <w:p>
      <w:pPr>
        <w:spacing w:before="200" w:after="80"/>
      </w:pPr>
      <w:r>
        <w:rPr>
          <w:rFonts w:ascii="Arial" w:hAnsi="Arial"/>
          <w:b/>
          <w:color w:val="1464B4"/>
          <w:sz w:val="26"/>
        </w:rPr>
        <w:t>Pillar 5: Analytics &amp; Reporting Layer</w:t>
      </w:r>
    </w:p>
    <w:p>
      <w:pPr>
        <w:pStyle w:val="ListBullet"/>
        <w:spacing w:before="20" w:after="20"/>
        <w:ind w:left="432"/>
      </w:pPr>
      <w:r>
        <w:rPr>
          <w:rFonts w:ascii="Arial" w:hAnsi="Arial"/>
          <w:b w:val="0"/>
          <w:sz w:val="20"/>
        </w:rPr>
        <w:t>Pre-built dashboards: placement activity, time-to-fill, pipeline velocity, client revenue</w:t>
      </w:r>
    </w:p>
    <w:p>
      <w:pPr>
        <w:pStyle w:val="ListBullet"/>
        <w:spacing w:before="20" w:after="20"/>
        <w:ind w:left="432"/>
      </w:pPr>
      <w:r>
        <w:rPr>
          <w:rFonts w:ascii="Arial" w:hAnsi="Arial"/>
          <w:b w:val="0"/>
          <w:sz w:val="20"/>
        </w:rPr>
        <w:t>Custom report builder: filter by recruiter, client, job type, date range, source, stage</w:t>
      </w:r>
    </w:p>
    <w:p>
      <w:pPr>
        <w:pStyle w:val="ListBullet"/>
        <w:spacing w:before="20" w:after="20"/>
        <w:ind w:left="432"/>
      </w:pPr>
      <w:r>
        <w:rPr>
          <w:rFonts w:ascii="Arial" w:hAnsi="Arial"/>
          <w:b w:val="0"/>
          <w:sz w:val="20"/>
        </w:rPr>
        <w:t>Funnel conversion analytics: stage-by-stage conversion rates across all active searches</w:t>
      </w:r>
    </w:p>
    <w:p>
      <w:pPr>
        <w:pStyle w:val="ListBullet"/>
        <w:spacing w:before="20" w:after="20"/>
        <w:ind w:left="432"/>
      </w:pPr>
      <w:r>
        <w:rPr>
          <w:rFonts w:ascii="Arial" w:hAnsi="Arial"/>
          <w:b w:val="0"/>
          <w:sz w:val="20"/>
        </w:rPr>
        <w:t>Client analytics: which clients have best close rates, longest cycles, highest fees</w:t>
      </w:r>
    </w:p>
    <w:p>
      <w:pPr>
        <w:pStyle w:val="ListBullet"/>
        <w:spacing w:before="20" w:after="20"/>
        <w:ind w:left="432"/>
      </w:pPr>
      <w:r>
        <w:rPr>
          <w:rFonts w:ascii="Arial" w:hAnsi="Arial"/>
          <w:b w:val="0"/>
          <w:sz w:val="20"/>
        </w:rPr>
        <w:t>Recruiter performance: activity metrics, submission-to-interview ratios, placement rates</w:t>
      </w:r>
    </w:p>
    <w:p>
      <w:pPr>
        <w:pStyle w:val="ListBullet"/>
        <w:spacing w:before="20" w:after="20"/>
        <w:ind w:left="432"/>
      </w:pPr>
      <w:r>
        <w:rPr>
          <w:rFonts w:ascii="Arial" w:hAnsi="Arial"/>
          <w:b w:val="0"/>
          <w:sz w:val="20"/>
        </w:rPr>
        <w:t>Exportable to CSV, PDF, and shareable via client portal or email digest</w:t>
      </w:r>
    </w:p>
    <w:p/>
    <w:p>
      <w:pPr>
        <w:spacing w:before="200" w:after="80"/>
      </w:pPr>
      <w:r>
        <w:rPr>
          <w:rFonts w:ascii="Arial" w:hAnsi="Arial"/>
          <w:b/>
          <w:color w:val="1464B4"/>
          <w:sz w:val="26"/>
        </w:rPr>
        <w:t>Pillar 6: Data Visualization &amp; Dashboards</w:t>
      </w:r>
    </w:p>
    <w:p>
      <w:pPr>
        <w:pStyle w:val="ListBullet"/>
        <w:spacing w:before="20" w:after="20"/>
        <w:ind w:left="432"/>
      </w:pPr>
      <w:r>
        <w:rPr>
          <w:rFonts w:ascii="Arial" w:hAnsi="Arial"/>
          <w:b w:val="0"/>
          <w:sz w:val="20"/>
        </w:rPr>
        <w:t>Home dashboard: personalized daily view — activity feed, pipeline status, tasks, alerts</w:t>
      </w:r>
    </w:p>
    <w:p>
      <w:pPr>
        <w:pStyle w:val="ListBullet"/>
        <w:spacing w:before="20" w:after="20"/>
        <w:ind w:left="432"/>
      </w:pPr>
      <w:r>
        <w:rPr>
          <w:rFonts w:ascii="Arial" w:hAnsi="Arial"/>
          <w:b w:val="0"/>
          <w:sz w:val="20"/>
        </w:rPr>
        <w:t>Pipeline heat map: visualize where candidates are clustered or stalled across all active reqs</w:t>
      </w:r>
    </w:p>
    <w:p>
      <w:pPr>
        <w:pStyle w:val="ListBullet"/>
        <w:spacing w:before="20" w:after="20"/>
        <w:ind w:left="432"/>
      </w:pPr>
      <w:r>
        <w:rPr>
          <w:rFonts w:ascii="Arial" w:hAnsi="Arial"/>
          <w:b w:val="0"/>
          <w:sz w:val="20"/>
        </w:rPr>
        <w:t>Client relationship health map: recency of contact, open reqs, active submissions at a glance</w:t>
      </w:r>
    </w:p>
    <w:p>
      <w:pPr>
        <w:pStyle w:val="ListBullet"/>
        <w:spacing w:before="20" w:after="20"/>
        <w:ind w:left="432"/>
      </w:pPr>
      <w:r>
        <w:rPr>
          <w:rFonts w:ascii="Arial" w:hAnsi="Arial"/>
          <w:b w:val="0"/>
          <w:sz w:val="20"/>
        </w:rPr>
        <w:t>Sourcing channel visualization: track which sources (LinkedIn, referral, DB, outbound) convert best</w:t>
      </w:r>
    </w:p>
    <w:p>
      <w:pPr>
        <w:pStyle w:val="ListBullet"/>
        <w:spacing w:before="20" w:after="20"/>
        <w:ind w:left="432"/>
      </w:pPr>
      <w:r>
        <w:rPr>
          <w:rFonts w:ascii="Arial" w:hAnsi="Arial"/>
          <w:b w:val="0"/>
          <w:sz w:val="20"/>
        </w:rPr>
        <w:t>Revenue forecasting view: projected fees from pipeline, weighted by probability/stage</w:t>
      </w:r>
    </w:p>
    <w:p/>
    <w:p>
      <w:pPr>
        <w:spacing w:before="280" w:after="80"/>
      </w:pPr>
      <w:r>
        <w:rPr>
          <w:rFonts w:ascii="Arial" w:hAnsi="Arial"/>
          <w:b/>
          <w:color w:val="1E50A0"/>
          <w:sz w:val="32"/>
        </w:rPr>
        <w:t>5. Go-To-Market Positioning</w:t>
      </w:r>
    </w:p>
    <w:p>
      <w:pPr>
        <w:spacing w:before="0" w:after="80"/>
      </w:pPr>
      <w:r>
        <w:rPr>
          <w:rFonts w:ascii="Arial" w:hAnsi="Arial"/>
          <w:b w:val="0"/>
          <w:sz w:val="20"/>
        </w:rPr>
        <w:t>The competitive landscape creates a clear ICP (Ideal Customer Profile) for this product: boutique-to-mid-sized agency recruiting firms (5–100 recruiters) who are outgrowing spreadsheets and generic ATSs but find Bullhorn overkill — and who want to differentiate their client experience beyond what Loxo or Crelate offer.</w:t>
      </w:r>
    </w:p>
    <w:p>
      <w:pPr>
        <w:spacing w:before="200" w:after="80"/>
      </w:pPr>
      <w:r>
        <w:rPr>
          <w:rFonts w:ascii="Arial" w:hAnsi="Arial"/>
          <w:b/>
          <w:color w:val="1464B4"/>
          <w:sz w:val="26"/>
        </w:rPr>
        <w:t>Target ICP</w:t>
      </w:r>
    </w:p>
    <w:p>
      <w:pPr>
        <w:pStyle w:val="ListBullet"/>
        <w:spacing w:before="20" w:after="20"/>
        <w:ind w:left="432"/>
      </w:pPr>
      <w:r>
        <w:rPr>
          <w:rFonts w:ascii="Arial" w:hAnsi="Arial"/>
          <w:b w:val="0"/>
          <w:sz w:val="20"/>
        </w:rPr>
        <w:t>Retained or contingency search firms in specialized verticals (tech, finance, healthcare, legal)</w:t>
      </w:r>
    </w:p>
    <w:p>
      <w:pPr>
        <w:pStyle w:val="ListBullet"/>
        <w:spacing w:before="20" w:after="20"/>
        <w:ind w:left="432"/>
      </w:pPr>
      <w:r>
        <w:rPr>
          <w:rFonts w:ascii="Arial" w:hAnsi="Arial"/>
          <w:b w:val="0"/>
          <w:sz w:val="20"/>
        </w:rPr>
        <w:t>Agency shops doing $1M–$25M in annual placed fees</w:t>
      </w:r>
    </w:p>
    <w:p>
      <w:pPr>
        <w:pStyle w:val="ListBullet"/>
        <w:spacing w:before="20" w:after="20"/>
        <w:ind w:left="432"/>
      </w:pPr>
      <w:r>
        <w:rPr>
          <w:rFonts w:ascii="Arial" w:hAnsi="Arial"/>
          <w:b w:val="0"/>
          <w:sz w:val="20"/>
        </w:rPr>
        <w:t>Firms with 3–50 active clients and an emphasis on quality-of-hire over volume</w:t>
      </w:r>
    </w:p>
    <w:p>
      <w:pPr>
        <w:pStyle w:val="ListBullet"/>
        <w:spacing w:before="20" w:after="20"/>
        <w:ind w:left="432"/>
      </w:pPr>
      <w:r>
        <w:rPr>
          <w:rFonts w:ascii="Arial" w:hAnsi="Arial"/>
          <w:b w:val="0"/>
          <w:sz w:val="20"/>
        </w:rPr>
        <w:t>Teams where the client relationship is the product — not just the placement</w:t>
      </w:r>
    </w:p>
    <w:p>
      <w:pPr>
        <w:pStyle w:val="ListBullet"/>
        <w:spacing w:before="20" w:after="20"/>
        <w:ind w:left="432"/>
      </w:pPr>
      <w:r>
        <w:rPr>
          <w:rFonts w:ascii="Arial" w:hAnsi="Arial"/>
          <w:b w:val="0"/>
          <w:sz w:val="20"/>
        </w:rPr>
        <w:t>Founders/operators who are data-literate and want BI, not canned reporting</w:t>
      </w:r>
    </w:p>
    <w:p>
      <w:pPr>
        <w:spacing w:before="200" w:after="80"/>
      </w:pPr>
      <w:r>
        <w:rPr>
          <w:rFonts w:ascii="Arial" w:hAnsi="Arial"/>
          <w:b/>
          <w:color w:val="1464B4"/>
          <w:sz w:val="26"/>
        </w:rPr>
        <w:t>Positioning Statement</w:t>
      </w:r>
    </w:p>
    <w:p>
      <w:pPr>
        <w:spacing w:before="120" w:after="120"/>
        <w:ind w:left="288" w:right="288"/>
        <w:shd w:val="clear" w:color="auto" w:fill="EBF3FB"/>
      </w:pPr>
      <w:r>
        <w:rPr>
          <w:rFonts w:ascii="Arial" w:hAnsi="Arial"/>
          <w:b w:val="0"/>
          <w:sz w:val="20"/>
        </w:rPr>
        <w:t>Unlike legacy ATS tools that treat the client as an afterthought, [Product Name] is the only recruiting platform built around the three-way relationship between recruiter, candidate, and client — giving every party a purpose-built experience, and giving agency leaders the data intelligence to run recruiting like a business.</w:t>
      </w:r>
    </w:p>
    <w:p/>
    <w:p>
      <w:pPr>
        <w:spacing w:before="200" w:after="80"/>
      </w:pPr>
      <w:r>
        <w:rPr>
          <w:rFonts w:ascii="Arial" w:hAnsi="Arial"/>
          <w:b/>
          <w:color w:val="1464B4"/>
          <w:sz w:val="26"/>
        </w:rPr>
        <w:t>Competitive Moats to Build Toward</w:t>
      </w:r>
    </w:p>
    <w:p>
      <w:pPr>
        <w:pStyle w:val="ListBullet"/>
        <w:spacing w:before="20" w:after="20"/>
        <w:ind w:left="432"/>
      </w:pPr>
      <w:r>
        <w:rPr>
          <w:rFonts w:ascii="Arial" w:hAnsi="Arial"/>
          <w:b w:val="0"/>
          <w:sz w:val="20"/>
        </w:rPr>
        <w:t>Client portal adoption creates switching costs on both the agency AND client side</w:t>
      </w:r>
    </w:p>
    <w:p>
      <w:pPr>
        <w:pStyle w:val="ListBullet"/>
        <w:spacing w:before="20" w:after="20"/>
        <w:ind w:left="432"/>
      </w:pPr>
      <w:r>
        <w:rPr>
          <w:rFonts w:ascii="Arial" w:hAnsi="Arial"/>
          <w:b w:val="0"/>
          <w:sz w:val="20"/>
        </w:rPr>
        <w:t>Relationship graph data compounds over time — the longer you use it, the smarter it gets</w:t>
      </w:r>
    </w:p>
    <w:p>
      <w:pPr>
        <w:pStyle w:val="ListBullet"/>
        <w:spacing w:before="20" w:after="20"/>
        <w:ind w:left="432"/>
      </w:pPr>
      <w:r>
        <w:rPr>
          <w:rFonts w:ascii="Arial" w:hAnsi="Arial"/>
          <w:b w:val="0"/>
          <w:sz w:val="20"/>
        </w:rPr>
        <w:t>Funnel and stage intelligence becomes a coaching layer for team leads — drives retention</w:t>
      </w:r>
    </w:p>
    <w:p>
      <w:pPr>
        <w:pStyle w:val="ListBullet"/>
        <w:spacing w:before="20" w:after="20"/>
        <w:ind w:left="432"/>
      </w:pPr>
      <w:r>
        <w:rPr>
          <w:rFonts w:ascii="Arial" w:hAnsi="Arial"/>
          <w:b w:val="0"/>
          <w:sz w:val="20"/>
        </w:rPr>
        <w:t>Configurable stage mapping becomes deeply embedded in each client workflow</w:t>
      </w:r>
    </w:p>
    <w:p>
      <w:pPr>
        <w:pStyle w:val="ListBullet"/>
        <w:spacing w:before="20" w:after="20"/>
        <w:ind w:left="432"/>
      </w:pPr>
      <w:r>
        <w:rPr>
          <w:rFonts w:ascii="Arial" w:hAnsi="Arial"/>
          <w:b w:val="0"/>
          <w:sz w:val="20"/>
        </w:rPr>
        <w:t>Analytics layer becomes a reporting tool agency owners share with their own boards/investors</w:t>
      </w:r>
    </w:p>
    <w:p>
      <w:pPr>
        <w:spacing w:before="80" w:after="80"/>
        <w:pBdr>
          <w:bottom w:val="single" w:sz="4" w:space="1" w:color="CCCCCC"/>
        </w:pBdr>
      </w:pPr>
    </w:p>
    <w:p>
      <w:pPr>
        <w:spacing w:before="280" w:after="80"/>
      </w:pPr>
      <w:r>
        <w:rPr>
          <w:rFonts w:ascii="Arial" w:hAnsi="Arial"/>
          <w:b/>
          <w:color w:val="1E50A0"/>
          <w:sz w:val="32"/>
        </w:rPr>
        <w:t>6. Recommended Next Steps</w:t>
      </w:r>
    </w:p>
    <w:p>
      <w:pPr>
        <w:spacing w:before="0" w:after="80"/>
      </w:pPr>
      <w:r>
        <w:rPr>
          <w:rFonts w:ascii="Arial" w:hAnsi="Arial"/>
          <w:b w:val="0"/>
          <w:sz w:val="20"/>
        </w:rPr>
        <w:t>With this landscape established, the next phase of product work should move from 'what exists' to 'what we build first.' The following sequence is recommended based on market urgency and build complexity:</w:t>
      </w:r>
    </w:p>
    <w:p>
      <w:pPr>
        <w:spacing w:before="120" w:after="40"/>
      </w:pPr>
      <w:r>
        <w:rPr>
          <w:rFonts w:ascii="Arial" w:hAnsi="Arial"/>
          <w:b/>
          <w:sz w:val="20"/>
        </w:rPr>
        <w:t xml:space="preserve">1. Define core data model: </w:t>
      </w:r>
      <w:r>
        <w:rPr>
          <w:rFonts w:ascii="Arial" w:hAnsi="Arial"/>
          <w:b w:val="0"/>
          <w:sz w:val="20"/>
        </w:rPr>
        <w:t>Candidate, Company, Contact, Job, Submission, Placement — and the relationships between them. This is the foundation everything else sits on.</w:t>
      </w:r>
    </w:p>
    <w:p>
      <w:pPr>
        <w:spacing w:before="120" w:after="40"/>
      </w:pPr>
      <w:r>
        <w:rPr>
          <w:rFonts w:ascii="Arial" w:hAnsi="Arial"/>
          <w:b/>
          <w:sz w:val="20"/>
        </w:rPr>
        <w:t xml:space="preserve">2. Scope the Client Portal MVP: </w:t>
      </w:r>
      <w:r>
        <w:rPr>
          <w:rFonts w:ascii="Arial" w:hAnsi="Arial"/>
          <w:b w:val="0"/>
          <w:sz w:val="20"/>
        </w:rPr>
        <w:t>This is the strongest differentiator and should be prototyped early. Even a lightweight version changes how agencies sell.</w:t>
      </w:r>
    </w:p>
    <w:p>
      <w:pPr>
        <w:spacing w:before="120" w:after="40"/>
      </w:pPr>
      <w:r>
        <w:rPr>
          <w:rFonts w:ascii="Arial" w:hAnsi="Arial"/>
          <w:b/>
          <w:sz w:val="20"/>
        </w:rPr>
        <w:t xml:space="preserve">3. Design the Pipeline &amp; Funnel layer: </w:t>
      </w:r>
      <w:r>
        <w:rPr>
          <w:rFonts w:ascii="Arial" w:hAnsi="Arial"/>
          <w:b w:val="0"/>
          <w:sz w:val="20"/>
        </w:rPr>
        <w:t>Define the stage schema, how stages map to clients, and what the visual funnel looks like. This drives the workflow and reporting stories.</w:t>
      </w:r>
    </w:p>
    <w:p>
      <w:pPr>
        <w:spacing w:before="120" w:after="40"/>
      </w:pPr>
      <w:r>
        <w:rPr>
          <w:rFonts w:ascii="Arial" w:hAnsi="Arial"/>
          <w:b/>
          <w:sz w:val="20"/>
        </w:rPr>
        <w:t xml:space="preserve">4. Wire the Workflow Engine: </w:t>
      </w:r>
      <w:r>
        <w:rPr>
          <w:rFonts w:ascii="Arial" w:hAnsi="Arial"/>
          <w:b w:val="0"/>
          <w:sz w:val="20"/>
        </w:rPr>
        <w:t>Start with 5–8 automation templates covering the most common agency patterns (outreach sequences, submission alerts, follow-up nudges).</w:t>
      </w:r>
    </w:p>
    <w:p>
      <w:pPr>
        <w:spacing w:before="120" w:after="40"/>
      </w:pPr>
      <w:r>
        <w:rPr>
          <w:rFonts w:ascii="Arial" w:hAnsi="Arial"/>
          <w:b/>
          <w:sz w:val="20"/>
        </w:rPr>
        <w:t xml:space="preserve">5. Build the Reporting Foundation: </w:t>
      </w:r>
      <w:r>
        <w:rPr>
          <w:rFonts w:ascii="Arial" w:hAnsi="Arial"/>
          <w:b w:val="0"/>
          <w:sz w:val="20"/>
        </w:rPr>
        <w:t>Agree on the 10 core metrics that matter most to agency leaders. Build those first, then layer the custom report builder.</w:t>
      </w:r>
    </w:p>
    <w:p>
      <w:pPr>
        <w:spacing w:before="120" w:after="40"/>
      </w:pPr>
      <w:r>
        <w:rPr>
          <w:rFonts w:ascii="Arial" w:hAnsi="Arial"/>
          <w:b/>
          <w:sz w:val="20"/>
        </w:rPr>
        <w:t xml:space="preserve">6. Identify design partner agencies: </w:t>
      </w:r>
      <w:r>
        <w:rPr>
          <w:rFonts w:ascii="Arial" w:hAnsi="Arial"/>
          <w:b w:val="0"/>
          <w:sz w:val="20"/>
        </w:rPr>
        <w:t>Recruit 3–5 boutique agencies to co-design with. Their workflows become your product's blueprint.</w:t>
      </w:r>
    </w:p>
    <w:p/>
    <w:p>
      <w:pPr>
        <w:spacing w:before="120" w:after="120"/>
        <w:ind w:left="288" w:right="288"/>
        <w:shd w:val="clear" w:color="auto" w:fill="FFF8E1"/>
      </w:pPr>
      <w:r>
        <w:rPr>
          <w:rFonts w:ascii="Arial" w:hAnsi="Arial"/>
          <w:b/>
          <w:color w:val="1E50A0"/>
          <w:sz w:val="20"/>
        </w:rPr>
        <w:t xml:space="preserve">Note:  </w:t>
      </w:r>
      <w:r>
        <w:rPr>
          <w:rFonts w:ascii="Arial" w:hAnsi="Arial"/>
          <w:b w:val="0"/>
          <w:sz w:val="20"/>
        </w:rPr>
        <w:t>This document is a living brief. As we go deeper into specific features — candidate experience, the data model, workflow automation, integrations — each pillar above becomes its own product specification. Ready to go deeper on any of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