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4"/>
          <w:szCs w:val="44"/>
        </w:rPr>
        <w:t xml:space="preserve">Email Integration</w:t>
      </w:r>
    </w:p>
    <w:p>
      <w:pPr>
        <w:spacing w:after="80"/>
        <w:jc w:val="center"/>
      </w:pPr>
      <w:r>
        <w:rPr>
          <w:rFonts w:ascii="Arial" w:cs="Arial" w:eastAsia="Arial" w:hAnsi="Arial"/>
          <w:color w:val="555555"/>
          <w:sz w:val="26"/>
          <w:szCs w:val="26"/>
        </w:rPr>
        <w:t xml:space="preserve">Google Workspace / Gmail  +  Microsoft 365 / Outlook</w:t>
      </w:r>
    </w:p>
    <w:p>
      <w:pPr>
        <w:spacing w:after="80"/>
        <w:jc w:val="center"/>
      </w:pPr>
      <w:r>
        <w:rPr>
          <w:rFonts w:ascii="Arial" w:cs="Arial" w:eastAsia="Arial" w:hAnsi="Arial"/>
          <w:color w:val="666666"/>
          <w:sz w:val="24"/>
          <w:szCs w:val="24"/>
        </w:rPr>
        <w:t xml:space="preserve">Design &amp; Engineering Specification</w:t>
      </w:r>
    </w:p>
    <w:p>
      <w:pPr>
        <w:spacing w:after="360"/>
        <w:jc w:val="center"/>
      </w:pPr>
      <w:r>
        <w:rPr>
          <w:rFonts w:ascii="Arial" w:cs="Arial" w:eastAsia="Arial" w:hAnsi="Arial"/>
          <w:color w:val="777777"/>
          <w:sz w:val="22"/>
          <w:szCs w:val="22"/>
        </w:rPr>
        <w:t xml:space="preserve">Ikhaya ATS  •  v0.2  •  April 17, 2026</w:t>
      </w:r>
    </w:p>
    <w:p>
      <w:pPr>
        <w:pStyle w:val="Heading1"/>
      </w:pPr>
      <w:r>
        <w:rPr>
          <w:rFonts w:ascii="Arial" w:cs="Arial" w:eastAsia="Arial" w:hAnsi="Arial"/>
          <w:b/>
          <w:bCs/>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rPr>
        <w:t xml:space="preserve">1. Summary</w:t>
      </w:r>
    </w:p>
    <w:p>
      <w:pPr>
        <w:spacing w:after="120"/>
      </w:pPr>
      <w:r>
        <w:rPr>
          <w:rFonts w:ascii="Arial" w:cs="Arial" w:eastAsia="Arial" w:hAnsi="Arial"/>
        </w:rPr>
        <w:t xml:space="preserve">Connect Google and Microsoft as first-class identity and data sources for the Ikhaya ATS. Users sign in with their work email — Google or Microsoft — then opt in (default: on) to two-way mailbox sync. Every message where a candidate's known email appears on any To/From/Cc/Bcc line is attached to that candidate's activity timeline — Inbox and Sent, both directions, with thread continuity preserved.</w:t>
      </w:r>
    </w:p>
    <w:p>
      <w:pPr>
        <w:spacing w:after="120"/>
      </w:pPr>
      <w:r>
        <w:rPr>
          <w:rFonts w:ascii="Arial" w:cs="Arial" w:eastAsia="Arial" w:hAnsi="Arial"/>
        </w:rPr>
        <w:t xml:space="preserve">Both integrations share one provider-agnostic core: the candidate matching engine, the data model, the timeline UI, the admin controls, the purge/export flows. Provider-specific code is isolated to thin adapters: OAuth handshake, API client, and realtime subscription handling.</w:t>
      </w:r>
    </w:p>
    <w:p>
      <w:pPr>
        <w:spacing w:after="120"/>
      </w:pPr>
      <w:r>
        <w:rPr>
          <w:rFonts w:ascii="Arial" w:cs="Arial" w:eastAsia="Arial" w:hAnsi="Arial"/>
        </w:rPr>
        <w:t xml:space="preserve">Critically for Microsoft: the integration pulls from each client's own Microsoft 365 tenant (their Entra ID directory, their Exchange Online mailboxes). Ikhaya's multi-tenant Entra app registration is the single source of consent; each customer tenant grants access either per-user or via tenant-wide admin consent. We never host the customer's mail — we hold short-lived access tokens and long-lived refresh tokens, queried against their tenant in real time.</w:t>
      </w:r>
    </w:p>
    <w:p>
      <w:pPr>
        <w:spacing w:after="120"/>
      </w:pPr>
      <w:r>
        <w:rPr>
          <w:rFonts w:ascii="Arial" w:cs="Arial" w:eastAsia="Arial" w:hAnsi="Arial"/>
        </w:rPr>
        <w:t xml:space="preserve">Scope is broad by design on both sides. Google: gmail.modify. Microsoft: Mail.ReadWrite + Mail.Send. This lets us later send on behalf of users, manage labels/categories, and maintain drafts without a second consent surface. Google requires CASA Tier-2 verification (6–12 weeks). Microsoft requires publisher verification + per-customer admin consent (2–3 weeks).</w:t>
      </w:r>
    </w:p>
    <w:p>
      <w:pPr>
        <w:spacing w:after="120"/>
      </w:pPr>
      <w:r>
        <w:rPr>
          <w:rFonts w:ascii="Arial" w:cs="Arial" w:eastAsia="Arial" w:hAnsi="Arial"/>
        </w:rPr>
        <w:t xml:space="preserve">Backfill at first connect is the last 90 days. Ongoing sync is near-real-time: Gmail push via Pub/Sub; Microsoft Graph change notifications via webhook.</w:t>
      </w:r>
    </w:p>
    <w:p>
      <w:pPr>
        <w:pStyle w:val="Heading1"/>
      </w:pPr>
      <w:r>
        <w:rPr>
          <w:rFonts w:ascii="Arial" w:cs="Arial" w:eastAsia="Arial" w:hAnsi="Arial"/>
          <w:b/>
          <w:bCs/>
        </w:rPr>
        <w:t xml:space="preserve">2. Goals and non-goals</w:t>
      </w:r>
    </w:p>
    <w:p>
      <w:pPr>
        <w:pStyle w:val="Heading2"/>
      </w:pPr>
      <w:r>
        <w:rPr>
          <w:rFonts w:ascii="Arial" w:cs="Arial" w:eastAsia="Arial" w:hAnsi="Arial"/>
          <w:b/>
          <w:bCs/>
        </w:rPr>
        <w:t xml:space="preserve">2.1 Goals</w:t>
      </w:r>
    </w:p>
    <w:p>
      <w:pPr>
        <w:pStyle w:val="ListParagraph"/>
        <w:numPr>
          <w:ilvl w:val="0"/>
          <w:numId w:val="2"/>
        </w:numPr>
      </w:pPr>
      <w:r>
        <w:rPr>
          <w:rFonts w:ascii="Arial" w:cs="Arial" w:eastAsia="Arial" w:hAnsi="Arial"/>
        </w:rPr>
        <w:t xml:space="preserve">Zero-friction Google or Microsoft sign-in at tenant account creation using the user's work email.</w:t>
      </w:r>
    </w:p>
    <w:p>
      <w:pPr>
        <w:pStyle w:val="ListParagraph"/>
        <w:numPr>
          <w:ilvl w:val="0"/>
          <w:numId w:val="2"/>
        </w:numPr>
      </w:pPr>
      <w:r>
        <w:rPr>
          <w:rFonts w:ascii="Arial" w:cs="Arial" w:eastAsia="Arial" w:hAnsi="Arial"/>
        </w:rPr>
        <w:t xml:space="preserve">Opt-in email sync presented during onboarding, default allow, one-click decline.</w:t>
      </w:r>
    </w:p>
    <w:p>
      <w:pPr>
        <w:pStyle w:val="ListParagraph"/>
        <w:numPr>
          <w:ilvl w:val="0"/>
          <w:numId w:val="2"/>
        </w:numPr>
      </w:pPr>
      <w:r>
        <w:rPr>
          <w:rFonts w:ascii="Arial" w:cs="Arial" w:eastAsia="Arial" w:hAnsi="Arial"/>
        </w:rPr>
        <w:t xml:space="preserve">Automatically thread every candidate-related email (Inbox + Sent) onto the candidate profile — provider-agnostic.</w:t>
      </w:r>
    </w:p>
    <w:p>
      <w:pPr>
        <w:pStyle w:val="ListParagraph"/>
        <w:numPr>
          <w:ilvl w:val="0"/>
          <w:numId w:val="2"/>
        </w:numPr>
      </w:pPr>
      <w:r>
        <w:rPr>
          <w:rFonts w:ascii="Arial" w:cs="Arial" w:eastAsia="Arial" w:hAnsi="Arial"/>
        </w:rPr>
        <w:t xml:space="preserve">Preserve enough fidelity that the activity timeline can replace the recruiter's Gmail/Outlook for candidate context.</w:t>
      </w:r>
    </w:p>
    <w:p>
      <w:pPr>
        <w:pStyle w:val="ListParagraph"/>
        <w:numPr>
          <w:ilvl w:val="0"/>
          <w:numId w:val="2"/>
        </w:numPr>
      </w:pPr>
      <w:r>
        <w:rPr>
          <w:rFonts w:ascii="Arial" w:cs="Arial" w:eastAsia="Arial" w:hAnsi="Arial"/>
        </w:rPr>
        <w:t xml:space="preserve">Admin-visible audit trail for every synced message and every permission grant/revoke, across providers.</w:t>
      </w:r>
    </w:p>
    <w:p>
      <w:pPr>
        <w:pStyle w:val="ListParagraph"/>
        <w:numPr>
          <w:ilvl w:val="0"/>
          <w:numId w:val="2"/>
        </w:numPr>
      </w:pPr>
      <w:r>
        <w:rPr>
          <w:rFonts w:ascii="Arial" w:cs="Arial" w:eastAsia="Arial" w:hAnsi="Arial"/>
        </w:rPr>
        <w:t xml:space="preserve">Clean revoke path: user can disconnect, admin can force-disconnect, user or admin can purge synced data.</w:t>
      </w:r>
    </w:p>
    <w:p>
      <w:pPr>
        <w:pStyle w:val="ListParagraph"/>
        <w:numPr>
          <w:ilvl w:val="0"/>
          <w:numId w:val="2"/>
        </w:numPr>
      </w:pPr>
      <w:r>
        <w:rPr>
          <w:rFonts w:ascii="Arial" w:cs="Arial" w:eastAsia="Arial" w:hAnsi="Arial"/>
        </w:rPr>
        <w:t xml:space="preserve">Customer tenant admins can review and revoke the Ikhaya app's consent from within their Google Admin Console or Microsoft Entra admin centre.</w:t>
      </w:r>
    </w:p>
    <w:p>
      <w:pPr>
        <w:pStyle w:val="Heading2"/>
      </w:pPr>
      <w:r>
        <w:rPr>
          <w:rFonts w:ascii="Arial" w:cs="Arial" w:eastAsia="Arial" w:hAnsi="Arial"/>
          <w:b/>
          <w:bCs/>
        </w:rPr>
        <w:t xml:space="preserve">2.2 Non-goals (v1)</w:t>
      </w:r>
    </w:p>
    <w:p>
      <w:pPr>
        <w:pStyle w:val="ListParagraph"/>
        <w:numPr>
          <w:ilvl w:val="0"/>
          <w:numId w:val="2"/>
        </w:numPr>
      </w:pPr>
      <w:r>
        <w:rPr>
          <w:rFonts w:ascii="Arial" w:cs="Arial" w:eastAsia="Arial" w:hAnsi="Arial"/>
        </w:rPr>
        <w:t xml:space="preserve">Calendar sync (tracked separately — v1.1 follow-up, same auth grants cover it).</w:t>
      </w:r>
    </w:p>
    <w:p>
      <w:pPr>
        <w:pStyle w:val="ListParagraph"/>
        <w:numPr>
          <w:ilvl w:val="0"/>
          <w:numId w:val="2"/>
        </w:numPr>
      </w:pPr>
      <w:r>
        <w:rPr>
          <w:rFonts w:ascii="Arial" w:cs="Arial" w:eastAsia="Arial" w:hAnsi="Arial"/>
        </w:rPr>
        <w:t xml:space="preserve">Full mail client UI inside the ATS — we surface messages on the candidate timeline, not a general inbox.</w:t>
      </w:r>
    </w:p>
    <w:p>
      <w:pPr>
        <w:pStyle w:val="ListParagraph"/>
        <w:numPr>
          <w:ilvl w:val="0"/>
          <w:numId w:val="2"/>
        </w:numPr>
      </w:pPr>
      <w:r>
        <w:rPr>
          <w:rFonts w:ascii="Arial" w:cs="Arial" w:eastAsia="Arial" w:hAnsi="Arial"/>
        </w:rPr>
        <w:t xml:space="preserve">Shared-team mailboxes (e.g., jobs@client.com) in v1; individual user mailboxes only. MS shared mailbox support is a top v1.1 candidate since it's native in Exchange.</w:t>
      </w:r>
    </w:p>
    <w:p>
      <w:pPr>
        <w:pStyle w:val="ListParagraph"/>
        <w:numPr>
          <w:ilvl w:val="0"/>
          <w:numId w:val="2"/>
        </w:numPr>
      </w:pPr>
      <w:r>
        <w:rPr>
          <w:rFonts w:ascii="Arial" w:cs="Arial" w:eastAsia="Arial" w:hAnsi="Arial"/>
        </w:rPr>
        <w:t xml:space="preserve">On-premises Exchange Server — Graph covers Exchange Online only; on-prem tenants are excluded.</w:t>
      </w:r>
    </w:p>
    <w:p>
      <w:pPr>
        <w:pStyle w:val="ListParagraph"/>
        <w:numPr>
          <w:ilvl w:val="0"/>
          <w:numId w:val="2"/>
        </w:numPr>
      </w:pPr>
      <w:r>
        <w:rPr>
          <w:rFonts w:ascii="Arial" w:cs="Arial" w:eastAsia="Arial" w:hAnsi="Arial"/>
        </w:rPr>
        <w:t xml:space="preserve">IMAP/SMTP fallback for non-Google/non-MS mail providers.</w:t>
      </w:r>
    </w:p>
    <w:p>
      <w:pPr>
        <w:pStyle w:val="ListParagraph"/>
        <w:numPr>
          <w:ilvl w:val="0"/>
          <w:numId w:val="2"/>
        </w:numPr>
      </w:pPr>
      <w:r>
        <w:rPr>
          <w:rFonts w:ascii="Arial" w:cs="Arial" w:eastAsia="Arial" w:hAnsi="Arial"/>
        </w:rPr>
        <w:t xml:space="preserve">Attachment OCR / resume auto-parse from email (handled by existing Resume pipeline, triggered separately).</w:t>
      </w:r>
    </w:p>
    <w:p>
      <w:pPr>
        <w:pStyle w:val="Heading1"/>
      </w:pPr>
      <w:r>
        <w:rPr>
          <w:rFonts w:ascii="Arial" w:cs="Arial" w:eastAsia="Arial" w:hAnsi="Arial"/>
          <w:b/>
          <w:bCs/>
        </w:rPr>
        <w:t xml:space="preserve">3. Provider architecture</w:t>
      </w:r>
    </w:p>
    <w:p>
      <w:pPr>
        <w:spacing w:after="120"/>
      </w:pPr>
      <w:r>
        <w:rPr>
          <w:rFonts w:ascii="Arial" w:cs="Arial" w:eastAsia="Arial" w:hAnsi="Arial"/>
        </w:rPr>
        <w:t xml:space="preserve">One abstract provider interface, two concrete implementations. Everything above the adapter is shared.</w:t>
      </w:r>
    </w:p>
    <w:p>
      <w:pPr>
        <w:pStyle w:val="Heading2"/>
      </w:pPr>
      <w:r>
        <w:rPr>
          <w:rFonts w:ascii="Arial" w:cs="Arial" w:eastAsia="Arial" w:hAnsi="Arial"/>
          <w:b/>
          <w:bCs/>
        </w:rPr>
        <w:t xml:space="preserve">3.1 Provider interface</w:t>
      </w:r>
    </w:p>
    <w:p>
      <w:pPr>
        <w:spacing w:after="80"/>
      </w:pPr>
      <w:r>
        <w:rPr>
          <w:rFonts w:ascii="Courier New" w:cs="Courier New" w:eastAsia="Courier New" w:hAnsi="Courier New"/>
          <w:sz w:val="20"/>
          <w:szCs w:val="20"/>
        </w:rPr>
        <w:t xml:space="preserve">interface EmailProvider {</w:t>
      </w:r>
    </w:p>
    <w:p>
      <w:pPr>
        <w:spacing w:after="80"/>
      </w:pPr>
      <w:r>
        <w:rPr>
          <w:rFonts w:ascii="Courier New" w:cs="Courier New" w:eastAsia="Courier New" w:hAnsi="Courier New"/>
          <w:sz w:val="20"/>
          <w:szCs w:val="20"/>
        </w:rPr>
        <w:t xml:space="preserve">  id: 'google' | 'microsoft';</w:t>
      </w:r>
    </w:p>
    <w:p>
      <w:pPr>
        <w:spacing w:after="80"/>
      </w:pPr>
      <w:r>
        <w:rPr>
          <w:rFonts w:ascii="Courier New" w:cs="Courier New" w:eastAsia="Courier New" w:hAnsi="Courier New"/>
          <w:sz w:val="20"/>
          <w:szCs w:val="20"/>
        </w:rPr>
        <w:t xml:space="preserve">  startOAuth(userId, tenantId): Promise&lt;ConsentURL&gt;;</w:t>
      </w:r>
    </w:p>
    <w:p>
      <w:pPr>
        <w:spacing w:after="80"/>
      </w:pPr>
      <w:r>
        <w:rPr>
          <w:rFonts w:ascii="Courier New" w:cs="Courier New" w:eastAsia="Courier New" w:hAnsi="Courier New"/>
          <w:sz w:val="20"/>
          <w:szCs w:val="20"/>
        </w:rPr>
        <w:t xml:space="preserve">  handleCallback(code, state): Promise&lt;Connection&gt;;</w:t>
      </w:r>
    </w:p>
    <w:p>
      <w:pPr>
        <w:spacing w:after="80"/>
      </w:pPr>
      <w:r>
        <w:rPr>
          <w:rFonts w:ascii="Courier New" w:cs="Courier New" w:eastAsia="Courier New" w:hAnsi="Courier New"/>
          <w:sz w:val="20"/>
          <w:szCs w:val="20"/>
        </w:rPr>
        <w:t xml:space="preserve">  listMessages(conn, query): AsyncIterable&lt;MessageRef&gt;;          // backfill + delta</w:t>
      </w:r>
    </w:p>
    <w:p>
      <w:pPr>
        <w:spacing w:after="80"/>
      </w:pPr>
      <w:r>
        <w:rPr>
          <w:rFonts w:ascii="Courier New" w:cs="Courier New" w:eastAsia="Courier New" w:hAnsi="Courier New"/>
          <w:sz w:val="20"/>
          <w:szCs w:val="20"/>
        </w:rPr>
        <w:t xml:space="preserve">  getMessage(conn, id): Promise&lt;FullMessage&gt;;</w:t>
      </w:r>
    </w:p>
    <w:p>
      <w:pPr>
        <w:spacing w:after="80"/>
      </w:pPr>
      <w:r>
        <w:rPr>
          <w:rFonts w:ascii="Courier New" w:cs="Courier New" w:eastAsia="Courier New" w:hAnsi="Courier New"/>
          <w:sz w:val="20"/>
          <w:szCs w:val="20"/>
        </w:rPr>
        <w:t xml:space="preserve">  sendMessage(conn, mime): Promise&lt;MessageRef&gt;;                 // v1.1 send</w:t>
      </w:r>
    </w:p>
    <w:p>
      <w:pPr>
        <w:spacing w:after="80"/>
      </w:pPr>
      <w:r>
        <w:rPr>
          <w:rFonts w:ascii="Courier New" w:cs="Courier New" w:eastAsia="Courier New" w:hAnsi="Courier New"/>
          <w:sz w:val="20"/>
          <w:szCs w:val="20"/>
        </w:rPr>
        <w:t xml:space="preserve">  subscribeRealtime(conn, webhookUrl): Promise&lt;Subscription&gt;;   // watch / subscription</w:t>
      </w:r>
    </w:p>
    <w:p>
      <w:pPr>
        <w:spacing w:after="80"/>
      </w:pPr>
      <w:r>
        <w:rPr>
          <w:rFonts w:ascii="Courier New" w:cs="Courier New" w:eastAsia="Courier New" w:hAnsi="Courier New"/>
          <w:sz w:val="20"/>
          <w:szCs w:val="20"/>
        </w:rPr>
        <w:t xml:space="preserve">  renewSubscription(sub): Promise&lt;Subscription&gt;;</w:t>
      </w:r>
    </w:p>
    <w:p>
      <w:pPr>
        <w:spacing w:after="80"/>
      </w:pPr>
      <w:r>
        <w:rPr>
          <w:rFonts w:ascii="Courier New" w:cs="Courier New" w:eastAsia="Courier New" w:hAnsi="Courier New"/>
          <w:sz w:val="20"/>
          <w:szCs w:val="20"/>
        </w:rPr>
        <w:t xml:space="preserve">  fetchDelta(conn, cursor): AsyncIterable&lt;MessageRef&gt;;          // historyId / deltaToken</w:t>
      </w:r>
    </w:p>
    <w:p>
      <w:pPr>
        <w:spacing w:after="80"/>
      </w:pPr>
      <w:r>
        <w:rPr>
          <w:rFonts w:ascii="Courier New" w:cs="Courier New" w:eastAsia="Courier New" w:hAnsi="Courier New"/>
          <w:sz w:val="20"/>
          <w:szCs w:val="20"/>
        </w:rPr>
        <w:t xml:space="preserve">  revoke(conn): Promise&lt;void&gt;;</w:t>
      </w:r>
    </w:p>
    <w:p>
      <w:pPr>
        <w:spacing w:after="80"/>
      </w:pPr>
      <w:r>
        <w:rPr>
          <w:rFonts w:ascii="Courier New" w:cs="Courier New" w:eastAsia="Courier New" w:hAnsi="Courier New"/>
          <w:sz w:val="20"/>
          <w:szCs w:val="20"/>
        </w:rPr>
        <w:t xml:space="preserve">}</w:t>
      </w:r>
    </w:p>
    <w:p>
      <w:pPr>
        <w:spacing w:after="120"/>
      </w:pPr>
      <w:r>
        <w:t xml:space="preserve"/>
      </w:r>
    </w:p>
    <w:p>
      <w:pPr>
        <w:spacing w:after="120"/>
      </w:pPr>
      <w:r>
        <w:rPr>
          <w:rFonts w:ascii="Arial" w:cs="Arial" w:eastAsia="Arial" w:hAnsi="Arial"/>
        </w:rPr>
        <w:t xml:space="preserve">Matching, storage, timeline rendering, purge — all call this interface. Provider-specific quirks (Gmail threadId vs MS conversationId, Pub/Sub vs webhook, historyId vs deltaToken) are hidden behind it.</w:t>
      </w:r>
    </w:p>
    <w:p>
      <w:pPr>
        <w:pStyle w:val="Heading2"/>
      </w:pPr>
      <w:r>
        <w:rPr>
          <w:rFonts w:ascii="Arial" w:cs="Arial" w:eastAsia="Arial" w:hAnsi="Arial"/>
          <w:b/>
          <w:bCs/>
        </w:rPr>
        <w:t xml:space="preserve">3.2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68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Google (Gmail)</w:t>
            </w:r>
          </w:p>
        </w:tc>
        <w:tc>
          <w:tcPr>
            <w:tcW w:type="dxa" w:w="368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Microsoft (Graph / Outlook)</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Identity provider</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Google Sign-In (OIDC)</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Entra ID (OIDC, MSAL)</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Authority / audience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accounts.google.com</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login.microsoftonline.com/common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App registration model</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Single OAuth client, per-user consent</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Multi-tenant app registration; per-user OR tenant-admin consent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Mailbox scope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gmail.modify</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Mail.ReadWrite + Mail.Send</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Profile scope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openid email profile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openid email profile User.Read offline_access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Refresh tokens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Long-lived, rotate on use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Long-lived (90d rolling), bound to offline_access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Thread identity</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threadId</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conversationId</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Backfill query</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q="newer_than:90d"</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$filter=receivedDateTime ge &lt;iso&gt;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Delta mechanism</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history.list + historyId</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messages/delta + deltaLink</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Realtime push</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users.watch → Cloud Pub/Sub</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subscription → webhook POST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Push TTL max</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 days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 days (4230 min)</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Verification</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CASA Tier-2, 6–12 weeks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Publisher verification + admin consent, 2–3 weeks</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Admin consent UX</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Per-user only (workspace admin can restrict)</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Admin can consent on behalf of whole tenant at /adminconsent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Rate limits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250 units/user/sec; msg.get = 5 units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Per-app-per-tenant throttling, 10k req / 10 min / mailbox typical</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Known-absent features</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 on-prem Exchange; Focused Inbox filters backfill unless bypassed</w:t>
            </w:r>
          </w:p>
        </w:tc>
      </w:tr>
    </w:tbl>
    <w:p>
      <w:pPr>
        <w:pStyle w:val="Heading2"/>
      </w:pPr>
      <w:r>
        <w:rPr>
          <w:rFonts w:ascii="Arial" w:cs="Arial" w:eastAsia="Arial" w:hAnsi="Arial"/>
          <w:b/>
          <w:bCs/>
        </w:rPr>
        <w:t xml:space="preserve">3.3 Shared layer</w:t>
      </w:r>
    </w:p>
    <w:p>
      <w:pPr>
        <w:pStyle w:val="ListParagraph"/>
        <w:numPr>
          <w:ilvl w:val="0"/>
          <w:numId w:val="2"/>
        </w:numPr>
      </w:pPr>
      <w:r>
        <w:rPr>
          <w:rFonts w:ascii="Arial" w:cs="Arial" w:eastAsia="Arial" w:hAnsi="Arial"/>
        </w:rPr>
        <w:t xml:space="preserve">Matching engine (4 strategies, see §6).</w:t>
      </w:r>
    </w:p>
    <w:p>
      <w:pPr>
        <w:pStyle w:val="ListParagraph"/>
        <w:numPr>
          <w:ilvl w:val="0"/>
          <w:numId w:val="2"/>
        </w:numPr>
      </w:pPr>
      <w:r>
        <w:rPr>
          <w:rFonts w:ascii="Arial" w:cs="Arial" w:eastAsia="Arial" w:hAnsi="Arial"/>
        </w:rPr>
        <w:t xml:space="preserve">Data model (`email_messages`, `email_threads`, `candidate_email_links`, §8).</w:t>
      </w:r>
    </w:p>
    <w:p>
      <w:pPr>
        <w:pStyle w:val="ListParagraph"/>
        <w:numPr>
          <w:ilvl w:val="0"/>
          <w:numId w:val="2"/>
        </w:numPr>
      </w:pPr>
      <w:r>
        <w:rPr>
          <w:rFonts w:ascii="Arial" w:cs="Arial" w:eastAsia="Arial" w:hAnsi="Arial"/>
        </w:rPr>
        <w:t xml:space="preserve">Candidate timeline rendering.</w:t>
      </w:r>
    </w:p>
    <w:p>
      <w:pPr>
        <w:pStyle w:val="ListParagraph"/>
        <w:numPr>
          <w:ilvl w:val="0"/>
          <w:numId w:val="2"/>
        </w:numPr>
      </w:pPr>
      <w:r>
        <w:rPr>
          <w:rFonts w:ascii="Arial" w:cs="Arial" w:eastAsia="Arial" w:hAnsi="Arial"/>
        </w:rPr>
        <w:t xml:space="preserve">Opt-in prompt UX.</w:t>
      </w:r>
    </w:p>
    <w:p>
      <w:pPr>
        <w:pStyle w:val="ListParagraph"/>
        <w:numPr>
          <w:ilvl w:val="0"/>
          <w:numId w:val="2"/>
        </w:numPr>
      </w:pPr>
      <w:r>
        <w:rPr>
          <w:rFonts w:ascii="Arial" w:cs="Arial" w:eastAsia="Arial" w:hAnsi="Arial"/>
        </w:rPr>
        <w:t xml:space="preserve">Settings → Integrations UI.</w:t>
      </w:r>
    </w:p>
    <w:p>
      <w:pPr>
        <w:pStyle w:val="ListParagraph"/>
        <w:numPr>
          <w:ilvl w:val="0"/>
          <w:numId w:val="2"/>
        </w:numPr>
      </w:pPr>
      <w:r>
        <w:rPr>
          <w:rFonts w:ascii="Arial" w:cs="Arial" w:eastAsia="Arial" w:hAnsi="Arial"/>
        </w:rPr>
        <w:t xml:space="preserve">Purge + export flows.</w:t>
      </w:r>
    </w:p>
    <w:p>
      <w:pPr>
        <w:pStyle w:val="ListParagraph"/>
        <w:numPr>
          <w:ilvl w:val="0"/>
          <w:numId w:val="2"/>
        </w:numPr>
      </w:pPr>
      <w:r>
        <w:rPr>
          <w:rFonts w:ascii="Arial" w:cs="Arial" w:eastAsia="Arial" w:hAnsi="Arial"/>
        </w:rPr>
        <w:t xml:space="preserve">Metrics dashboards.</w:t>
      </w:r>
    </w:p>
    <w:p>
      <w:pPr>
        <w:pStyle w:val="Heading1"/>
      </w:pPr>
      <w:r>
        <w:rPr>
          <w:rFonts w:ascii="Arial" w:cs="Arial" w:eastAsia="Arial" w:hAnsi="Arial"/>
          <w:b/>
          <w:bCs/>
        </w:rPr>
        <w:t xml:space="preserve">4. User experience</w:t>
      </w:r>
    </w:p>
    <w:p>
      <w:pPr>
        <w:pStyle w:val="Heading2"/>
      </w:pPr>
      <w:r>
        <w:rPr>
          <w:rFonts w:ascii="Arial" w:cs="Arial" w:eastAsia="Arial" w:hAnsi="Arial"/>
          <w:b/>
          <w:bCs/>
        </w:rPr>
        <w:t xml:space="preserve">4.1 Sign-up / sign-in</w:t>
      </w:r>
    </w:p>
    <w:p>
      <w:pPr>
        <w:spacing w:after="120"/>
      </w:pPr>
      <w:r>
        <w:rPr>
          <w:rFonts w:ascii="Arial" w:cs="Arial" w:eastAsia="Arial" w:hAnsi="Arial"/>
        </w:rPr>
        <w:t xml:space="preserve">The tenant account creation flow is 'work email first'. We render two primary CTAs side-by-side:</w:t>
      </w:r>
    </w:p>
    <w:p>
      <w:pPr>
        <w:pStyle w:val="ListParagraph"/>
        <w:numPr>
          <w:ilvl w:val="0"/>
          <w:numId w:val="2"/>
        </w:numPr>
      </w:pPr>
      <w:r>
        <w:rPr>
          <w:rFonts w:ascii="Arial" w:cs="Arial" w:eastAsia="Arial" w:hAnsi="Arial"/>
        </w:rPr>
        <w:t xml:space="preserve">'Continue with Google' (Google G mark, standard brand treatment).</w:t>
      </w:r>
    </w:p>
    <w:p>
      <w:pPr>
        <w:pStyle w:val="ListParagraph"/>
        <w:numPr>
          <w:ilvl w:val="0"/>
          <w:numId w:val="2"/>
        </w:numPr>
      </w:pPr>
      <w:r>
        <w:rPr>
          <w:rFonts w:ascii="Arial" w:cs="Arial" w:eastAsia="Arial" w:hAnsi="Arial"/>
        </w:rPr>
        <w:t xml:space="preserve">'Continue with Microsoft' (Microsoft four-square mark, per Microsoft brand guidelines).</w:t>
      </w:r>
    </w:p>
    <w:p>
      <w:pPr>
        <w:spacing w:after="120"/>
      </w:pPr>
      <w:r>
        <w:rPr>
          <w:rFonts w:ascii="Arial" w:cs="Arial" w:eastAsia="Arial" w:hAnsi="Arial"/>
        </w:rPr>
        <w:t xml:space="preserve">Below the primary CTAs, a secondary 'Use email and password' link for tenants that can't use either. Consumer Gmail (@gmail.com) and personal Microsoft accounts (@outlook.com, @hotmail.com, @live.com) are allowed but surfaced with a soft note: 'We recommend your work email for a cleaner audit trail.' Not blocking.</w:t>
      </w:r>
    </w:p>
    <w:p>
      <w:pPr>
        <w:pStyle w:val="Heading3"/>
      </w:pPr>
      <w:r>
        <w:rPr>
          <w:rFonts w:ascii="Arial" w:cs="Arial" w:eastAsia="Arial" w:hAnsi="Arial"/>
          <w:b/>
          <w:bCs/>
        </w:rPr>
        <w:t xml:space="preserve">4.1.1 Google OAuth scopes (one consent)</w:t>
      </w:r>
    </w:p>
    <w:p>
      <w:pPr>
        <w:spacing w:after="80"/>
      </w:pPr>
      <w:r>
        <w:rPr>
          <w:rFonts w:ascii="Courier New" w:cs="Courier New" w:eastAsia="Courier New" w:hAnsi="Courier New"/>
          <w:sz w:val="20"/>
          <w:szCs w:val="20"/>
        </w:rPr>
        <w:t xml:space="preserve">openid</w:t>
      </w:r>
    </w:p>
    <w:p>
      <w:pPr>
        <w:spacing w:after="80"/>
      </w:pPr>
      <w:r>
        <w:rPr>
          <w:rFonts w:ascii="Courier New" w:cs="Courier New" w:eastAsia="Courier New" w:hAnsi="Courier New"/>
          <w:sz w:val="20"/>
          <w:szCs w:val="20"/>
        </w:rPr>
        <w:t xml:space="preserve">https://www.googleapis.com/auth/userinfo.email</w:t>
      </w:r>
    </w:p>
    <w:p>
      <w:pPr>
        <w:spacing w:after="80"/>
      </w:pPr>
      <w:r>
        <w:rPr>
          <w:rFonts w:ascii="Courier New" w:cs="Courier New" w:eastAsia="Courier New" w:hAnsi="Courier New"/>
          <w:sz w:val="20"/>
          <w:szCs w:val="20"/>
        </w:rPr>
        <w:t xml:space="preserve">https://www.googleapis.com/auth/userinfo.profile</w:t>
      </w:r>
    </w:p>
    <w:p>
      <w:pPr>
        <w:spacing w:after="80"/>
      </w:pPr>
      <w:r>
        <w:rPr>
          <w:rFonts w:ascii="Courier New" w:cs="Courier New" w:eastAsia="Courier New" w:hAnsi="Courier New"/>
          <w:sz w:val="20"/>
          <w:szCs w:val="20"/>
        </w:rPr>
        <w:t xml:space="preserve">https://www.googleapis.com/auth/gmail.modify</w:t>
      </w:r>
    </w:p>
    <w:p>
      <w:pPr>
        <w:pStyle w:val="Heading3"/>
      </w:pPr>
      <w:r>
        <w:rPr>
          <w:rFonts w:ascii="Arial" w:cs="Arial" w:eastAsia="Arial" w:hAnsi="Arial"/>
          <w:b/>
          <w:bCs/>
        </w:rPr>
        <w:t xml:space="preserve">4.1.2 Microsoft OAuth scopes (one consent)</w:t>
      </w:r>
    </w:p>
    <w:p>
      <w:pPr>
        <w:spacing w:after="80"/>
      </w:pPr>
      <w:r>
        <w:rPr>
          <w:rFonts w:ascii="Courier New" w:cs="Courier New" w:eastAsia="Courier New" w:hAnsi="Courier New"/>
          <w:sz w:val="20"/>
          <w:szCs w:val="20"/>
        </w:rPr>
        <w:t xml:space="preserve">openid</w:t>
      </w:r>
    </w:p>
    <w:p>
      <w:pPr>
        <w:spacing w:after="80"/>
      </w:pPr>
      <w:r>
        <w:rPr>
          <w:rFonts w:ascii="Courier New" w:cs="Courier New" w:eastAsia="Courier New" w:hAnsi="Courier New"/>
          <w:sz w:val="20"/>
          <w:szCs w:val="20"/>
        </w:rPr>
        <w:t xml:space="preserve">email</w:t>
      </w:r>
    </w:p>
    <w:p>
      <w:pPr>
        <w:spacing w:after="80"/>
      </w:pPr>
      <w:r>
        <w:rPr>
          <w:rFonts w:ascii="Courier New" w:cs="Courier New" w:eastAsia="Courier New" w:hAnsi="Courier New"/>
          <w:sz w:val="20"/>
          <w:szCs w:val="20"/>
        </w:rPr>
        <w:t xml:space="preserve">profile</w:t>
      </w:r>
    </w:p>
    <w:p>
      <w:pPr>
        <w:spacing w:after="80"/>
      </w:pPr>
      <w:r>
        <w:rPr>
          <w:rFonts w:ascii="Courier New" w:cs="Courier New" w:eastAsia="Courier New" w:hAnsi="Courier New"/>
          <w:sz w:val="20"/>
          <w:szCs w:val="20"/>
        </w:rPr>
        <w:t xml:space="preserve">offline_access</w:t>
      </w:r>
    </w:p>
    <w:p>
      <w:pPr>
        <w:spacing w:after="80"/>
      </w:pPr>
      <w:r>
        <w:rPr>
          <w:rFonts w:ascii="Courier New" w:cs="Courier New" w:eastAsia="Courier New" w:hAnsi="Courier New"/>
          <w:sz w:val="20"/>
          <w:szCs w:val="20"/>
        </w:rPr>
        <w:t xml:space="preserve">User.Read</w:t>
      </w:r>
    </w:p>
    <w:p>
      <w:pPr>
        <w:spacing w:after="80"/>
      </w:pPr>
      <w:r>
        <w:rPr>
          <w:rFonts w:ascii="Courier New" w:cs="Courier New" w:eastAsia="Courier New" w:hAnsi="Courier New"/>
          <w:sz w:val="20"/>
          <w:szCs w:val="20"/>
        </w:rPr>
        <w:t xml:space="preserve">Mail.ReadWrite</w:t>
      </w:r>
    </w:p>
    <w:p>
      <w:pPr>
        <w:spacing w:after="80"/>
      </w:pPr>
      <w:r>
        <w:rPr>
          <w:rFonts w:ascii="Courier New" w:cs="Courier New" w:eastAsia="Courier New" w:hAnsi="Courier New"/>
          <w:sz w:val="20"/>
          <w:szCs w:val="20"/>
        </w:rPr>
        <w:t xml:space="preserve">Mail.Send</w:t>
      </w:r>
    </w:p>
    <w:p>
      <w:pPr>
        <w:spacing w:after="120"/>
      </w:pPr>
      <w:r>
        <w:rPr>
          <w:rFonts w:ascii="Arial" w:cs="Arial" w:eastAsia="Arial" w:hAnsi="Arial"/>
        </w:rPr>
        <w:t xml:space="preserve">Authority: https://login.microsoftonline.com/common — allows both work/school accounts (any Entra tenant) and personal Microsoft accounts. For tenants that want to enforce work-only, switch to the `organizations` authority via a tenant-level setting.</w:t>
      </w:r>
    </w:p>
    <w:p>
      <w:pPr>
        <w:pStyle w:val="Heading2"/>
      </w:pPr>
      <w:r>
        <w:rPr>
          <w:rFonts w:ascii="Arial" w:cs="Arial" w:eastAsia="Arial" w:hAnsi="Arial"/>
          <w:b/>
          <w:bCs/>
        </w:rPr>
        <w:t xml:space="preserve">4.2 Sync opt-in prompt</w:t>
      </w:r>
    </w:p>
    <w:p>
      <w:pPr>
        <w:spacing w:after="120"/>
      </w:pPr>
      <w:r>
        <w:rPr>
          <w:rFonts w:ascii="Arial" w:cs="Arial" w:eastAsia="Arial" w:hAnsi="Arial"/>
        </w:rPr>
        <w:t xml:space="preserve">Provider-agnostic. Immediately after first successful sign-in, before the dashboard, a full-bleed modal. The copy adapts to the provider the user signed in with:</w:t>
      </w:r>
    </w:p>
    <w:p>
      <w:pPr>
        <w:spacing w:after="120"/>
      </w:pPr>
      <w:r>
        <w:rPr>
          <w:rFonts w:ascii="Arial" w:cs="Arial" w:eastAsia="Arial" w:hAnsi="Arial"/>
          <w:b/>
          <w:bCs/>
        </w:rPr>
        <w:t xml:space="preserve">Title: </w:t>
      </w:r>
      <w:r>
        <w:rPr>
          <w:rFonts w:ascii="Arial" w:cs="Arial" w:eastAsia="Arial" w:hAnsi="Arial"/>
        </w:rPr>
        <w:t xml:space="preserve">"Sync your Gmail to candidate profiles" (or "Sync your Outlook mailbox…")</w:t>
      </w:r>
    </w:p>
    <w:p>
      <w:pPr>
        <w:spacing w:after="120"/>
      </w:pPr>
      <w:r>
        <w:rPr>
          <w:rFonts w:ascii="Arial" w:cs="Arial" w:eastAsia="Arial" w:hAnsi="Arial"/>
          <w:b/>
          <w:bCs/>
        </w:rPr>
        <w:t xml:space="preserve">Body: </w:t>
      </w:r>
      <w:r>
        <w:rPr>
          <w:rFonts w:ascii="Arial" w:cs="Arial" w:eastAsia="Arial" w:hAnsi="Arial"/>
        </w:rPr>
        <w:t xml:space="preserve">"Ikhaya will automatically attach emails from your Inbox and Sent folder to candidate profiles whenever an email address on the message matches a candidate in your workspace. You stay in control — we only show messages tied to candidates, and you can turn this off anytime in Settings → Integrations."</w:t>
      </w:r>
    </w:p>
    <w:p>
      <w:pPr>
        <w:spacing w:after="120"/>
      </w:pPr>
      <w:r>
        <w:rPr>
          <w:rFonts w:ascii="Arial" w:cs="Arial" w:eastAsia="Arial" w:hAnsi="Arial"/>
          <w:b/>
          <w:bCs/>
        </w:rPr>
        <w:t xml:space="preserve">Primary CTA (default focus): </w:t>
      </w:r>
      <w:r>
        <w:rPr>
          <w:rFonts w:ascii="Arial" w:cs="Arial" w:eastAsia="Arial" w:hAnsi="Arial"/>
        </w:rPr>
        <w:t xml:space="preserve">"Allow sync" (green, filled)</w:t>
      </w:r>
    </w:p>
    <w:p>
      <w:pPr>
        <w:spacing w:after="120"/>
      </w:pPr>
      <w:r>
        <w:rPr>
          <w:rFonts w:ascii="Arial" w:cs="Arial" w:eastAsia="Arial" w:hAnsi="Arial"/>
          <w:b/>
          <w:bCs/>
        </w:rPr>
        <w:t xml:space="preserve">Secondary: </w:t>
      </w:r>
      <w:r>
        <w:rPr>
          <w:rFonts w:ascii="Arial" w:cs="Arial" w:eastAsia="Arial" w:hAnsi="Arial"/>
        </w:rPr>
        <w:t xml:space="preserve">"Not now" (ghost button)</w:t>
      </w:r>
    </w:p>
    <w:p>
      <w:pPr>
        <w:spacing w:after="120"/>
      </w:pPr>
      <w:r>
        <w:rPr>
          <w:rFonts w:ascii="Arial" w:cs="Arial" w:eastAsia="Arial" w:hAnsi="Arial"/>
          <w:b/>
          <w:bCs/>
        </w:rPr>
        <w:t xml:space="preserve">Tertiary, below the fold: </w:t>
      </w:r>
      <w:r>
        <w:rPr>
          <w:rFonts w:ascii="Arial" w:cs="Arial" w:eastAsia="Arial" w:hAnsi="Arial"/>
        </w:rPr>
        <w:t xml:space="preserve">expandable "What exactly does Ikhaya see?" — plain-language list of what's read, stored, never touched (spam, junk, trash, deleted items, non-candidate emails filtered at ingest).</w:t>
      </w:r>
    </w:p>
    <w:p>
      <w:pPr>
        <w:spacing w:after="120"/>
      </w:pPr>
      <w:r>
        <w:rPr>
          <w:rFonts w:ascii="Arial" w:cs="Arial" w:eastAsia="Arial" w:hAnsi="Arial"/>
        </w:rPr>
        <w:t xml:space="preserve">On 'Allow': kick off the 90-day backfill as a background job; user lands on dashboard with toast 'Syncing your last 90 days — this usually takes a few minutes.' Do NOT block.</w:t>
      </w:r>
    </w:p>
    <w:p>
      <w:pPr>
        <w:spacing w:after="120"/>
      </w:pPr>
      <w:r>
        <w:rPr>
          <w:rFonts w:ascii="Arial" w:cs="Arial" w:eastAsia="Arial" w:hAnsi="Arial"/>
        </w:rPr>
        <w:t xml:space="preserve">On 'Not now': persist a decline state and re-prompt once, 7 days later, with softer copy. After that, respect the decline forever; feature must remain one-click enable from Settings.</w:t>
      </w:r>
    </w:p>
    <w:p>
      <w:pPr>
        <w:pStyle w:val="Heading2"/>
      </w:pPr>
      <w:r>
        <w:rPr>
          <w:rFonts w:ascii="Arial" w:cs="Arial" w:eastAsia="Arial" w:hAnsi="Arial"/>
          <w:b/>
          <w:bCs/>
        </w:rPr>
        <w:t xml:space="preserve">4.3 Admin-consent path (Microsoft only)</w:t>
      </w:r>
    </w:p>
    <w:p>
      <w:pPr>
        <w:spacing w:after="120"/>
      </w:pPr>
      <w:r>
        <w:rPr>
          <w:rFonts w:ascii="Arial" w:cs="Arial" w:eastAsia="Arial" w:hAnsi="Arial"/>
        </w:rPr>
        <w:t xml:space="preserve">Many enterprise customers block individual user consent to third-party apps. For those, the Ikhaya customer tenant admin must grant tenant-wide consent before any user in their org can connect. Flow:</w:t>
      </w:r>
    </w:p>
    <w:p>
      <w:pPr>
        <w:pStyle w:val="ListParagraph"/>
        <w:numPr>
          <w:ilvl w:val="0"/>
          <w:numId w:val="3"/>
        </w:numPr>
      </w:pPr>
      <w:r>
        <w:rPr>
          <w:rFonts w:ascii="Arial" w:cs="Arial" w:eastAsia="Arial" w:hAnsi="Arial"/>
        </w:rPr>
        <w:t xml:space="preserve">Customer admin goes to Settings → Integrations → Microsoft, clicks 'Grant admin consent for my organization'.</w:t>
      </w:r>
    </w:p>
    <w:p>
      <w:pPr>
        <w:pStyle w:val="ListParagraph"/>
        <w:numPr>
          <w:ilvl w:val="0"/>
          <w:numId w:val="3"/>
        </w:numPr>
      </w:pPr>
      <w:r>
        <w:rPr>
          <w:rFonts w:ascii="Arial" w:cs="Arial" w:eastAsia="Arial" w:hAnsi="Arial"/>
        </w:rPr>
        <w:t xml:space="preserve">We redirect to https://login.microsoftonline.com/{their-tenant}/adminconsent?client_id=&lt;ikhaya-app&gt; with our scopes.</w:t>
      </w:r>
    </w:p>
    <w:p>
      <w:pPr>
        <w:pStyle w:val="ListParagraph"/>
        <w:numPr>
          <w:ilvl w:val="0"/>
          <w:numId w:val="3"/>
        </w:numPr>
      </w:pPr>
      <w:r>
        <w:rPr>
          <w:rFonts w:ascii="Arial" w:cs="Arial" w:eastAsia="Arial" w:hAnsi="Arial"/>
        </w:rPr>
        <w:t xml:space="preserve">Microsoft prompts the admin to approve the Ikhaya app for the whole tenant; they see the exact scope list.</w:t>
      </w:r>
    </w:p>
    <w:p>
      <w:pPr>
        <w:pStyle w:val="ListParagraph"/>
        <w:numPr>
          <w:ilvl w:val="0"/>
          <w:numId w:val="3"/>
        </w:numPr>
      </w:pPr>
      <w:r>
        <w:rPr>
          <w:rFonts w:ascii="Arial" w:cs="Arial" w:eastAsia="Arial" w:hAnsi="Arial"/>
        </w:rPr>
        <w:t xml:space="preserve">On approval, Microsoft redirects back to our callback with admin_consent=True + tenant id.</w:t>
      </w:r>
    </w:p>
    <w:p>
      <w:pPr>
        <w:pStyle w:val="ListParagraph"/>
        <w:numPr>
          <w:ilvl w:val="0"/>
          <w:numId w:val="3"/>
        </w:numPr>
      </w:pPr>
      <w:r>
        <w:rPr>
          <w:rFonts w:ascii="Arial" w:cs="Arial" w:eastAsia="Arial" w:hAnsi="Arial"/>
        </w:rPr>
        <w:t xml:space="preserve">We mark the customer tenant as `ms_admin_consented`; individual users in that tenant can now sign in without hitting an 'approval required' wall.</w:t>
      </w:r>
    </w:p>
    <w:p>
      <w:pPr>
        <w:pStyle w:val="ListParagraph"/>
        <w:numPr>
          <w:ilvl w:val="0"/>
          <w:numId w:val="3"/>
        </w:numPr>
      </w:pPr>
      <w:r>
        <w:rPr>
          <w:rFonts w:ascii="Arial" w:cs="Arial" w:eastAsia="Arial" w:hAnsi="Arial"/>
        </w:rPr>
        <w:t xml:space="preserve">If the admin declines, individual user consent is still attempted; users will see Microsoft's standard 'Need admin approval' screen if their tenant restricts user consent.</w:t>
      </w:r>
    </w:p>
    <w:p>
      <w:pPr>
        <w:spacing w:after="120"/>
      </w:pPr>
      <w:r>
        <w:rPr>
          <w:rFonts w:ascii="Arial" w:cs="Arial" w:eastAsia="Arial" w:hAnsi="Arial"/>
        </w:rPr>
        <w:t xml:space="preserve">Design note: the admin-consent button appears only for users whose Entra tenant ID differs from any already-consented tenant in our records. This keeps the UI clean for customers on permissive tenants.</w:t>
      </w:r>
    </w:p>
    <w:p>
      <w:pPr>
        <w:pStyle w:val="Heading2"/>
      </w:pPr>
      <w:r>
        <w:rPr>
          <w:rFonts w:ascii="Arial" w:cs="Arial" w:eastAsia="Arial" w:hAnsi="Arial"/>
          <w:b/>
          <w:bCs/>
        </w:rPr>
        <w:t xml:space="preserve">4.4 Settings surface</w:t>
      </w:r>
    </w:p>
    <w:p>
      <w:pPr>
        <w:spacing w:after="120"/>
      </w:pPr>
      <w:r>
        <w:rPr>
          <w:rFonts w:ascii="Arial" w:cs="Arial" w:eastAsia="Arial" w:hAnsi="Arial"/>
        </w:rPr>
        <w:t xml:space="preserve">Settings → Integrations. Single section showing both providers, one card each:</w:t>
      </w:r>
    </w:p>
    <w:p>
      <w:pPr>
        <w:pStyle w:val="ListParagraph"/>
        <w:numPr>
          <w:ilvl w:val="0"/>
          <w:numId w:val="2"/>
        </w:numPr>
      </w:pPr>
      <w:r>
        <w:rPr>
          <w:rFonts w:ascii="Arial" w:cs="Arial" w:eastAsia="Arial" w:hAnsi="Arial"/>
        </w:rPr>
        <w:t xml:space="preserve">Provider logo + name, connected account email, connection status, last sync timestamp.</w:t>
      </w:r>
    </w:p>
    <w:p>
      <w:pPr>
        <w:pStyle w:val="ListParagraph"/>
        <w:numPr>
          <w:ilvl w:val="0"/>
          <w:numId w:val="2"/>
        </w:numPr>
      </w:pPr>
      <w:r>
        <w:rPr>
          <w:rFonts w:ascii="Arial" w:cs="Arial" w:eastAsia="Arial" w:hAnsi="Arial"/>
        </w:rPr>
        <w:t xml:space="preserve">Messages synced in the last 24h.</w:t>
      </w:r>
    </w:p>
    <w:p>
      <w:pPr>
        <w:pStyle w:val="ListParagraph"/>
        <w:numPr>
          <w:ilvl w:val="0"/>
          <w:numId w:val="2"/>
        </w:numPr>
      </w:pPr>
      <w:r>
        <w:rPr>
          <w:rFonts w:ascii="Arial" w:cs="Arial" w:eastAsia="Arial" w:hAnsi="Arial"/>
        </w:rPr>
        <w:t xml:space="preserve">Sync toggle switch.</w:t>
      </w:r>
    </w:p>
    <w:p>
      <w:pPr>
        <w:pStyle w:val="ListParagraph"/>
        <w:numPr>
          <w:ilvl w:val="0"/>
          <w:numId w:val="2"/>
        </w:numPr>
      </w:pPr>
      <w:r>
        <w:rPr>
          <w:rFonts w:ascii="Arial" w:cs="Arial" w:eastAsia="Arial" w:hAnsi="Arial"/>
        </w:rPr>
        <w:t xml:space="preserve">'Disconnect and purge data' button (destructive, double-confirm).</w:t>
      </w:r>
    </w:p>
    <w:p>
      <w:pPr>
        <w:pStyle w:val="ListParagraph"/>
        <w:numPr>
          <w:ilvl w:val="0"/>
          <w:numId w:val="2"/>
        </w:numPr>
      </w:pPr>
      <w:r>
        <w:rPr>
          <w:rFonts w:ascii="Arial" w:cs="Arial" w:eastAsia="Arial" w:hAnsi="Arial"/>
        </w:rPr>
        <w:t xml:space="preserve">Admin-only: 'Grant admin consent' (Microsoft) or 'View app in Google Workspace Admin' (deep link).</w:t>
      </w:r>
    </w:p>
    <w:p>
      <w:pPr>
        <w:pStyle w:val="Heading2"/>
      </w:pPr>
      <w:r>
        <w:rPr>
          <w:rFonts w:ascii="Arial" w:cs="Arial" w:eastAsia="Arial" w:hAnsi="Arial"/>
          <w:b/>
          <w:bCs/>
        </w:rPr>
        <w:t xml:space="preserve">4.5 Candidate timeline presentation</w:t>
      </w:r>
    </w:p>
    <w:p>
      <w:pPr>
        <w:spacing w:after="120"/>
      </w:pPr>
      <w:r>
        <w:rPr>
          <w:rFonts w:ascii="Arial" w:cs="Arial" w:eastAsia="Arial" w:hAnsi="Arial"/>
        </w:rPr>
        <w:t xml:space="preserve">Emails appear on the existing activity timeline with a provider-specific glyph (Gmail red or Outlook blue) and message preview. Clicking expands the message inline (sanitized HTML, images lazy-loaded via each provider's proxy). Thread siblings collapsed into a single timeline card with a '5 messages in thread' badge.</w:t>
      </w:r>
    </w:p>
    <w:p>
      <w:pPr>
        <w:spacing w:after="120"/>
      </w:pPr>
      <w:r>
        <w:rPr>
          <w:rFonts w:ascii="Arial" w:cs="Arial" w:eastAsia="Arial" w:hAnsi="Arial"/>
        </w:rPr>
        <w:t xml:space="preserve">Direction: inbound ↓ vs outbound ↑. Match reason chip: 'exact', 'alt email', 'fuzzy (87%)', or 'thread'. Provider chip 'Gmail' or 'Outlook' in muted text.</w:t>
      </w:r>
    </w:p>
    <w:p>
      <w:pPr>
        <w:pStyle w:val="Heading1"/>
      </w:pPr>
      <w:r>
        <w:rPr>
          <w:rFonts w:ascii="Arial" w:cs="Arial" w:eastAsia="Arial" w:hAnsi="Arial"/>
          <w:b/>
          <w:bCs/>
        </w:rPr>
        <w:t xml:space="preserve">5. Identity &amp; tenancy model</w:t>
      </w:r>
    </w:p>
    <w:p>
      <w:pPr>
        <w:pStyle w:val="Heading2"/>
      </w:pPr>
      <w:r>
        <w:rPr>
          <w:rFonts w:ascii="Arial" w:cs="Arial" w:eastAsia="Arial" w:hAnsi="Arial"/>
          <w:b/>
          <w:bCs/>
        </w:rPr>
        <w:t xml:space="preserve">5.1 Ikhaya user ↔ provider account binding</w:t>
      </w:r>
    </w:p>
    <w:p>
      <w:pPr>
        <w:pStyle w:val="ListParagraph"/>
        <w:numPr>
          <w:ilvl w:val="0"/>
          <w:numId w:val="2"/>
        </w:numPr>
      </w:pPr>
      <w:r>
        <w:rPr>
          <w:rFonts w:ascii="Arial" w:cs="Arial" w:eastAsia="Arial" w:hAnsi="Arial"/>
        </w:rPr>
        <w:t xml:space="preserve">Each Ikhaya user binds to at most one provider account (Google OR Microsoft, not both — for v1). This keeps the 'your mailbox' concept unambiguous on their profile.</w:t>
      </w:r>
    </w:p>
    <w:p>
      <w:pPr>
        <w:pStyle w:val="ListParagraph"/>
        <w:numPr>
          <w:ilvl w:val="0"/>
          <w:numId w:val="2"/>
        </w:numPr>
      </w:pPr>
      <w:r>
        <w:rPr>
          <w:rFonts w:ascii="Arial" w:cs="Arial" w:eastAsia="Arial" w:hAnsi="Arial"/>
        </w:rPr>
        <w:t xml:space="preserve">V1.1 may allow a second provider binding per user (e.g., someone with a Gmail work address who also runs an Outlook side-project address) — deferred until there's demand.</w:t>
      </w:r>
    </w:p>
    <w:p>
      <w:pPr>
        <w:pStyle w:val="ListParagraph"/>
        <w:numPr>
          <w:ilvl w:val="0"/>
          <w:numId w:val="2"/>
        </w:numPr>
      </w:pPr>
      <w:r>
        <w:rPr>
          <w:rFonts w:ascii="Arial" w:cs="Arial" w:eastAsia="Arial" w:hAnsi="Arial"/>
        </w:rPr>
        <w:t xml:space="preserve">Rebinding requires admin unbind + re-consent.</w:t>
      </w:r>
    </w:p>
    <w:p>
      <w:pPr>
        <w:pStyle w:val="ListParagraph"/>
        <w:numPr>
          <w:ilvl w:val="0"/>
          <w:numId w:val="2"/>
        </w:numPr>
      </w:pPr>
      <w:r>
        <w:rPr>
          <w:rFonts w:ascii="Arial" w:cs="Arial" w:eastAsia="Arial" w:hAnsi="Arial"/>
        </w:rPr>
        <w:t xml:space="preserve">Primary email defaults to the provider-returned email but is editable.</w:t>
      </w:r>
    </w:p>
    <w:p>
      <w:pPr>
        <w:pStyle w:val="ListParagraph"/>
        <w:numPr>
          <w:ilvl w:val="0"/>
          <w:numId w:val="2"/>
        </w:numPr>
      </w:pPr>
      <w:r>
        <w:rPr>
          <w:rFonts w:ascii="Arial" w:cs="Arial" w:eastAsia="Arial" w:hAnsi="Arial"/>
        </w:rPr>
        <w:t xml:space="preserve">On sign-in, if the provider email is already bound to a user in a different Ikhaya tenant: block with "This account is already connected to another Ikhaya workspace. Contact your admin."</w:t>
      </w:r>
    </w:p>
    <w:p>
      <w:pPr>
        <w:pStyle w:val="Heading2"/>
      </w:pPr>
      <w:r>
        <w:rPr>
          <w:rFonts w:ascii="Arial" w:cs="Arial" w:eastAsia="Arial" w:hAnsi="Arial"/>
          <w:b/>
          <w:bCs/>
        </w:rPr>
        <w:t xml:space="preserve">5.2 Ikhaya tenant ↔ customer Microsoft tenant</w:t>
      </w:r>
    </w:p>
    <w:p>
      <w:pPr>
        <w:spacing w:after="120"/>
      </w:pPr>
      <w:r>
        <w:rPr>
          <w:rFonts w:ascii="Arial" w:cs="Arial" w:eastAsia="Arial" w:hAnsi="Arial"/>
        </w:rPr>
        <w:t xml:space="preserve">One Ikhaya tenant may contain users from multiple customer Microsoft tenants (e.g., an agency with contractors on different Entra directories). We track a many-to-many: `ikhaya_tenant_ms_tenants` captures which Entra tenant IDs have been admin-consented for this Ikhaya workspace.</w:t>
      </w:r>
    </w:p>
    <w:p>
      <w:pPr>
        <w:spacing w:after="120"/>
      </w:pPr>
      <w:r>
        <w:rPr>
          <w:rFonts w:ascii="Arial" w:cs="Arial" w:eastAsia="Arial" w:hAnsi="Arial"/>
        </w:rPr>
        <w:t xml:space="preserve">This model lets us also answer, for any Ikhaya tenant admin: 'which Microsoft tenants do my users belong to, and has each one granted admin consent?'</w:t>
      </w:r>
    </w:p>
    <w:p>
      <w:pPr>
        <w:pStyle w:val="Heading2"/>
      </w:pPr>
      <w:r>
        <w:rPr>
          <w:rFonts w:ascii="Arial" w:cs="Arial" w:eastAsia="Arial" w:hAnsi="Arial"/>
          <w:b/>
          <w:bCs/>
        </w:rPr>
        <w:t xml:space="preserve">5.3 Ikhaya tenant ↔ customer Google Workspace</w:t>
      </w:r>
    </w:p>
    <w:p>
      <w:pPr>
        <w:spacing w:after="120"/>
      </w:pPr>
      <w:r>
        <w:rPr>
          <w:rFonts w:ascii="Arial" w:cs="Arial" w:eastAsia="Arial" w:hAnsi="Arial"/>
        </w:rPr>
        <w:t xml:space="preserve">Google has no equivalent of tenant-wide admin consent by default (each user consents individually). However, Google Workspace admins can block the Ikhaya OAuth app at the domain level. We detect this failure mode on any user's invalid_grant and surface: 'Your Google Workspace admin has restricted third-party apps. Ask them to allowlist Ikhaya.' with a deep link and an email-admin helper.</w:t>
      </w:r>
    </w:p>
    <w:p>
      <w:pPr>
        <w:pStyle w:val="Heading1"/>
      </w:pPr>
      <w:r>
        <w:rPr>
          <w:rFonts w:ascii="Arial" w:cs="Arial" w:eastAsia="Arial" w:hAnsi="Arial"/>
          <w:b/>
          <w:bCs/>
        </w:rPr>
        <w:t xml:space="preserve">6. Email → candidate matching</w:t>
      </w:r>
    </w:p>
    <w:p>
      <w:pPr>
        <w:spacing w:after="120"/>
      </w:pPr>
      <w:r>
        <w:rPr>
          <w:rFonts w:ascii="Arial" w:cs="Arial" w:eastAsia="Arial" w:hAnsi="Arial"/>
        </w:rPr>
        <w:t xml:space="preserve">Provider-agnostic. Four additive match strategies, evaluated in order. First match wins for 'primary' attribution; additional matches recorded for audit. Matching runs over every participant on the message (From, To, Cc, Bcc) against every candidate in the tenant's workspace.</w:t>
      </w:r>
    </w:p>
    <w:p>
      <w:pPr>
        <w:pStyle w:val="Heading2"/>
      </w:pPr>
      <w:r>
        <w:rPr>
          <w:rFonts w:ascii="Arial" w:cs="Arial" w:eastAsia="Arial" w:hAnsi="Arial"/>
          <w:b/>
          <w:bCs/>
        </w:rPr>
        <w:t xml:space="preserve">6.1 Exact email</w:t>
      </w:r>
    </w:p>
    <w:p>
      <w:pPr>
        <w:spacing w:after="120"/>
      </w:pPr>
      <w:r>
        <w:rPr>
          <w:rFonts w:ascii="Arial" w:cs="Arial" w:eastAsia="Arial" w:hAnsi="Arial"/>
        </w:rPr>
        <w:t xml:space="preserve">Case-insensitive, Gmail-dot-insensitive normalization. `jane.doe+jobs@gmail.com` matches `janedoe@gmail.com`. Store the canonical form alongside the raw form. Microsoft addresses are not dot-normalised (Outlook treats dots literally), so normalization is provider-aware.</w:t>
      </w:r>
    </w:p>
    <w:p>
      <w:pPr>
        <w:pStyle w:val="Heading2"/>
      </w:pPr>
      <w:r>
        <w:rPr>
          <w:rFonts w:ascii="Arial" w:cs="Arial" w:eastAsia="Arial" w:hAnsi="Arial"/>
          <w:b/>
          <w:bCs/>
        </w:rPr>
        <w:t xml:space="preserve">6.2 Secondary/alt emails</w:t>
      </w:r>
    </w:p>
    <w:p>
      <w:pPr>
        <w:spacing w:after="120"/>
      </w:pPr>
      <w:r>
        <w:rPr>
          <w:rFonts w:ascii="Arial" w:cs="Arial" w:eastAsia="Arial" w:hAnsi="Arial"/>
        </w:rPr>
        <w:t xml:space="preserve">Candidate profiles already support multiple emails. Every additional email indexed in the same lookup. High-signal low-cost match after exact.</w:t>
      </w:r>
    </w:p>
    <w:p>
      <w:pPr>
        <w:pStyle w:val="Heading2"/>
      </w:pPr>
      <w:r>
        <w:rPr>
          <w:rFonts w:ascii="Arial" w:cs="Arial" w:eastAsia="Arial" w:hAnsi="Arial"/>
          <w:b/>
          <w:bCs/>
        </w:rPr>
        <w:t xml:space="preserve">6.3 Domain + name fuzzy</w:t>
      </w:r>
    </w:p>
    <w:p>
      <w:pPr>
        <w:spacing w:after="120"/>
      </w:pPr>
      <w:r>
        <w:rPr>
          <w:rFonts w:ascii="Arial" w:cs="Arial" w:eastAsia="Arial" w:hAnsi="Arial"/>
        </w:rPr>
        <w:t xml:space="preserve">For messages that don't match on exact or alt: if the local-part of the email, when normalized (lowercase, strip separators, strip digits), has a token-set similarity ≥ 0.82 to the candidate's first+last name, AND the domain is in a curated free-provider allowlist (gmail.com, outlook.com, hotmail.com, live.com, proton.me, icloud.com, yahoo.com) OR matches a known employer of the candidate, record a fuzzy match.</w:t>
      </w:r>
    </w:p>
    <w:p>
      <w:pPr>
        <w:spacing w:after="120"/>
      </w:pPr>
      <w:r>
        <w:rPr>
          <w:rFonts w:ascii="Arial" w:cs="Arial" w:eastAsia="Arial" w:hAnsi="Arial"/>
        </w:rPr>
        <w:t xml:space="preserve">Fuzzy matches are flagged 'Needs review' — they appear in an 'Unclaimed matches' inbox for one-click confirm/reject. Confirming adds the email as a new alt on the candidate.</w:t>
      </w:r>
    </w:p>
    <w:p>
      <w:pPr>
        <w:pStyle w:val="Heading2"/>
      </w:pPr>
      <w:r>
        <w:rPr>
          <w:rFonts w:ascii="Arial" w:cs="Arial" w:eastAsia="Arial" w:hAnsi="Arial"/>
          <w:b/>
          <w:bCs/>
        </w:rPr>
        <w:t xml:space="preserve">6.4 Thread-based linking</w:t>
      </w:r>
    </w:p>
    <w:p>
      <w:pPr>
        <w:spacing w:after="120"/>
      </w:pPr>
      <w:r>
        <w:rPr>
          <w:rFonts w:ascii="Arial" w:cs="Arial" w:eastAsia="Arial" w:hAnsi="Arial"/>
        </w:rPr>
        <w:t xml:space="preserve">Gmail threadId and Microsoft conversationId are both authoritative in their respective systems. Stored in the same `email_threads.provider_thread_id` column, disambiguated by `provider` column. Once any message in a thread is linked, every message in that thread — past and future — is linked. Cross-provider threading is not attempted (a Gmail thread and an Outlook thread are separate records even if semantically related).</w:t>
      </w:r>
    </w:p>
    <w:p>
      <w:pPr>
        <w:pStyle w:val="Heading2"/>
      </w:pPr>
      <w:r>
        <w:rPr>
          <w:rFonts w:ascii="Arial" w:cs="Arial" w:eastAsia="Arial" w:hAnsi="Arial"/>
          <w:b/>
          <w:bCs/>
        </w:rPr>
        <w:t xml:space="preserve">6.5 Match precedence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Strategy</w:t>
            </w:r>
          </w:p>
        </w:tc>
        <w:tc>
          <w:tcPr>
            <w:tcW w:type="dxa" w:w="26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Default behaviour</w:t>
            </w:r>
          </w:p>
        </w:tc>
        <w:tc>
          <w:tcPr>
            <w:tcW w:type="dxa" w:w="16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Confidence</w:t>
            </w:r>
          </w:p>
        </w:tc>
        <w:tc>
          <w:tcPr>
            <w:tcW w:type="dxa" w:w="316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User review</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 Exact</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Auto-attach</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2. Alt email</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Auto-attach</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3. Thread</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Auto-attach</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99%</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No (unless conflict)</w:t>
            </w:r>
          </w:p>
        </w:tc>
      </w:tr>
      <w:tr>
        <w:tc>
          <w:tcPr>
            <w:tcW w:type="dxa" w:w="2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 Fuzzy</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Queue for review</w:t>
            </w:r>
          </w:p>
        </w:tc>
        <w:tc>
          <w:tcPr>
            <w:tcW w:type="dxa" w:w="1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70–95%</w:t>
            </w:r>
          </w:p>
        </w:tc>
        <w:tc>
          <w:tcPr>
            <w:tcW w:type="dxa" w:w="31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Yes, one-click</w:t>
            </w:r>
          </w:p>
        </w:tc>
      </w:tr>
    </w:tbl>
    <w:p>
      <w:pPr>
        <w:pStyle w:val="Heading1"/>
      </w:pPr>
      <w:r>
        <w:rPr>
          <w:rFonts w:ascii="Arial" w:cs="Arial" w:eastAsia="Arial" w:hAnsi="Arial"/>
          <w:b/>
          <w:bCs/>
        </w:rPr>
        <w:t xml:space="preserve">7. Sync architecture</w:t>
      </w:r>
    </w:p>
    <w:p>
      <w:pPr>
        <w:pStyle w:val="Heading2"/>
      </w:pPr>
      <w:r>
        <w:rPr>
          <w:rFonts w:ascii="Arial" w:cs="Arial" w:eastAsia="Arial" w:hAnsi="Arial"/>
          <w:b/>
          <w:bCs/>
        </w:rPr>
        <w:t xml:space="preserve">7.1 Google (Gmail) data flow</w:t>
      </w:r>
    </w:p>
    <w:p>
      <w:pPr>
        <w:pStyle w:val="ListParagraph"/>
        <w:numPr>
          <w:ilvl w:val="0"/>
          <w:numId w:val="3"/>
        </w:numPr>
      </w:pPr>
      <w:r>
        <w:rPr>
          <w:rFonts w:ascii="Arial" w:cs="Arial" w:eastAsia="Arial" w:hAnsi="Arial"/>
        </w:rPr>
        <w:t xml:space="preserve">OAuth handshake stores refresh_token in Secrets Manager (KMS-wrapped); row in `provider_connections` with provider='google'.</w:t>
      </w:r>
    </w:p>
    <w:p>
      <w:pPr>
        <w:pStyle w:val="ListParagraph"/>
        <w:numPr>
          <w:ilvl w:val="0"/>
          <w:numId w:val="3"/>
        </w:numPr>
      </w:pPr>
      <w:r>
        <w:rPr>
          <w:rFonts w:ascii="Arial" w:cs="Arial" w:eastAsia="Arial" w:hAnsi="Arial"/>
        </w:rPr>
        <w:t xml:space="preserve">Initial backfill enqueues `sync.backfill.start` with user_id, provider='google', window=90d.</w:t>
      </w:r>
    </w:p>
    <w:p>
      <w:pPr>
        <w:pStyle w:val="ListParagraph"/>
        <w:numPr>
          <w:ilvl w:val="0"/>
          <w:numId w:val="3"/>
        </w:numPr>
      </w:pPr>
      <w:r>
        <w:rPr>
          <w:rFonts w:ascii="Arial" w:cs="Arial" w:eastAsia="Arial" w:hAnsi="Arial"/>
        </w:rPr>
        <w:t xml:space="preserve">Worker lists message IDs via `users.messages.list q="newer_than:90d"`, chunked at 500/page.</w:t>
      </w:r>
    </w:p>
    <w:p>
      <w:pPr>
        <w:pStyle w:val="ListParagraph"/>
        <w:numPr>
          <w:ilvl w:val="0"/>
          <w:numId w:val="3"/>
        </w:numPr>
      </w:pPr>
      <w:r>
        <w:rPr>
          <w:rFonts w:ascii="Arial" w:cs="Arial" w:eastAsia="Arial" w:hAnsi="Arial"/>
        </w:rPr>
        <w:t xml:space="preserve">For each ID, METADATA fetch first; if matching finds a candidate, escalate to FULL and persist.</w:t>
      </w:r>
    </w:p>
    <w:p>
      <w:pPr>
        <w:pStyle w:val="ListParagraph"/>
        <w:numPr>
          <w:ilvl w:val="0"/>
          <w:numId w:val="3"/>
        </w:numPr>
      </w:pPr>
      <w:r>
        <w:rPr>
          <w:rFonts w:ascii="Arial" w:cs="Arial" w:eastAsia="Arial" w:hAnsi="Arial"/>
        </w:rPr>
        <w:t xml:space="preserve">Start `users.watch` to a Pub/Sub topic, TTL 7 days; cron renews daily.</w:t>
      </w:r>
    </w:p>
    <w:p>
      <w:pPr>
        <w:pStyle w:val="ListParagraph"/>
        <w:numPr>
          <w:ilvl w:val="0"/>
          <w:numId w:val="3"/>
        </w:numPr>
      </w:pPr>
      <w:r>
        <w:rPr>
          <w:rFonts w:ascii="Arial" w:cs="Arial" w:eastAsia="Arial" w:hAnsi="Arial"/>
        </w:rPr>
        <w:t xml:space="preserve">Pub/Sub push delivers `historyId`. Worker calls `users.history.list startHistoryId=&lt;last&gt;` and routes new messages through the matcher.</w:t>
      </w:r>
    </w:p>
    <w:p>
      <w:pPr>
        <w:pStyle w:val="ListParagraph"/>
        <w:numPr>
          <w:ilvl w:val="0"/>
          <w:numId w:val="3"/>
        </w:numPr>
      </w:pPr>
      <w:r>
        <w:rPr>
          <w:rFonts w:ascii="Arial" w:cs="Arial" w:eastAsia="Arial" w:hAnsi="Arial"/>
        </w:rPr>
        <w:t xml:space="preserve">Fallback poll every 5 min via history API if push stalls.</w:t>
      </w:r>
    </w:p>
    <w:p>
      <w:pPr>
        <w:pStyle w:val="Heading2"/>
      </w:pPr>
      <w:r>
        <w:rPr>
          <w:rFonts w:ascii="Arial" w:cs="Arial" w:eastAsia="Arial" w:hAnsi="Arial"/>
          <w:b/>
          <w:bCs/>
        </w:rPr>
        <w:t xml:space="preserve">7.2 Microsoft (Graph / Outlook) data flow</w:t>
      </w:r>
    </w:p>
    <w:p>
      <w:pPr>
        <w:pStyle w:val="ListParagraph"/>
        <w:numPr>
          <w:ilvl w:val="0"/>
          <w:numId w:val="3"/>
        </w:numPr>
      </w:pPr>
      <w:r>
        <w:rPr>
          <w:rFonts w:ascii="Arial" w:cs="Arial" w:eastAsia="Arial" w:hAnsi="Arial"/>
        </w:rPr>
        <w:t xml:space="preserve">MSAL handshake using authority `common`; stores refresh_token in Secrets Manager; row in `provider_connections` with provider='microsoft' and `ms_tenant_id` captured from id_token.</w:t>
      </w:r>
    </w:p>
    <w:p>
      <w:pPr>
        <w:pStyle w:val="ListParagraph"/>
        <w:numPr>
          <w:ilvl w:val="0"/>
          <w:numId w:val="3"/>
        </w:numPr>
      </w:pPr>
      <w:r>
        <w:rPr>
          <w:rFonts w:ascii="Arial" w:cs="Arial" w:eastAsia="Arial" w:hAnsi="Arial"/>
        </w:rPr>
        <w:t xml:space="preserve">Initial backfill enqueues `sync.backfill.start` with user_id, provider='microsoft', window=90d.</w:t>
      </w:r>
    </w:p>
    <w:p>
      <w:pPr>
        <w:pStyle w:val="ListParagraph"/>
        <w:numPr>
          <w:ilvl w:val="0"/>
          <w:numId w:val="3"/>
        </w:numPr>
      </w:pPr>
      <w:r>
        <w:rPr>
          <w:rFonts w:ascii="Arial" w:cs="Arial" w:eastAsia="Arial" w:hAnsi="Arial"/>
        </w:rPr>
        <w:t xml:space="preserve">Worker calls `GET /me/mailFolders('inbox')/messages?$filter=receivedDateTime ge &lt;iso90&gt;&amp;$top=100&amp;$select=id,conversationId,subject,from,toRecipients,ccRecipients,receivedDateTime,internetMessageId&amp;$orderby=receivedDateTime desc`. Using `/mailFolders('inbox')/messages` directly bypasses Focused Inbox filtering. Repeat for `/sentItems/messages`.</w:t>
      </w:r>
    </w:p>
    <w:p>
      <w:pPr>
        <w:pStyle w:val="ListParagraph"/>
        <w:numPr>
          <w:ilvl w:val="0"/>
          <w:numId w:val="3"/>
        </w:numPr>
      </w:pPr>
      <w:r>
        <w:rPr>
          <w:rFonts w:ascii="Arial" w:cs="Arial" w:eastAsia="Arial" w:hAnsi="Arial"/>
        </w:rPr>
        <w:t xml:space="preserve">Page via `@odata.nextLink`. For each message where matching finds a candidate, fetch full body: `GET /me/messages/{id}`.</w:t>
      </w:r>
    </w:p>
    <w:p>
      <w:pPr>
        <w:pStyle w:val="ListParagraph"/>
        <w:numPr>
          <w:ilvl w:val="0"/>
          <w:numId w:val="3"/>
        </w:numPr>
      </w:pPr>
      <w:r>
        <w:rPr>
          <w:rFonts w:ascii="Arial" w:cs="Arial" w:eastAsia="Arial" w:hAnsi="Arial"/>
        </w:rPr>
        <w:t xml:space="preserve">Once backfill completes, capture a `deltaLink` via `GET /me/mailFolders('inbox')/messages/delta`. This is the cursor for future deltas.</w:t>
      </w:r>
    </w:p>
    <w:p>
      <w:pPr>
        <w:pStyle w:val="ListParagraph"/>
        <w:numPr>
          <w:ilvl w:val="0"/>
          <w:numId w:val="3"/>
        </w:numPr>
      </w:pPr>
      <w:r>
        <w:rPr>
          <w:rFonts w:ascii="Arial" w:cs="Arial" w:eastAsia="Arial" w:hAnsi="Arial"/>
        </w:rPr>
        <w:t xml:space="preserve">Create a change notification subscription: `POST /subscriptions` with resource `/me/mailFolders('inbox')/messages`, changeType `created,updated`, notificationUrl pointing to our webhook, `clientState` = HMAC of connection id, `expirationDateTime` = now + 3 days (max 4230 min).</w:t>
      </w:r>
    </w:p>
    <w:p>
      <w:pPr>
        <w:pStyle w:val="ListParagraph"/>
        <w:numPr>
          <w:ilvl w:val="0"/>
          <w:numId w:val="3"/>
        </w:numPr>
      </w:pPr>
      <w:r>
        <w:rPr>
          <w:rFonts w:ascii="Arial" w:cs="Arial" w:eastAsia="Arial" w:hAnsi="Arial"/>
        </w:rPr>
        <w:t xml:space="preserve">Separately subscribe to `/me/mailFolders('sentitems')/messages` for outbound capture.</w:t>
      </w:r>
    </w:p>
    <w:p>
      <w:pPr>
        <w:pStyle w:val="ListParagraph"/>
        <w:numPr>
          <w:ilvl w:val="0"/>
          <w:numId w:val="3"/>
        </w:numPr>
      </w:pPr>
      <w:r>
        <w:rPr>
          <w:rFonts w:ascii="Arial" w:cs="Arial" w:eastAsia="Arial" w:hAnsi="Arial"/>
        </w:rPr>
        <w:t xml:space="preserve">Graph POSTs to our webhook with a `validationToken` on create (we must echo it within 10 seconds) and later with notification payloads. On each notification, fetch the delta via the stored deltaLink to get changed messages (the notification itself does NOT contain the message body — by design).</w:t>
      </w:r>
    </w:p>
    <w:p>
      <w:pPr>
        <w:pStyle w:val="ListParagraph"/>
        <w:numPr>
          <w:ilvl w:val="0"/>
          <w:numId w:val="3"/>
        </w:numPr>
      </w:pPr>
      <w:r>
        <w:rPr>
          <w:rFonts w:ascii="Arial" w:cs="Arial" w:eastAsia="Arial" w:hAnsi="Arial"/>
        </w:rPr>
        <w:t xml:space="preserve">Cron renews every subscription at TTL − 12h; failures alert oncall.</w:t>
      </w:r>
    </w:p>
    <w:p>
      <w:pPr>
        <w:pStyle w:val="ListParagraph"/>
        <w:numPr>
          <w:ilvl w:val="0"/>
          <w:numId w:val="3"/>
        </w:numPr>
      </w:pPr>
      <w:r>
        <w:rPr>
          <w:rFonts w:ascii="Arial" w:cs="Arial" w:eastAsia="Arial" w:hAnsi="Arial"/>
        </w:rPr>
        <w:t xml:space="preserve">Fallback poll via deltaLink every 5 min if notifications lapse.</w:t>
      </w:r>
    </w:p>
    <w:p>
      <w:pPr>
        <w:pStyle w:val="Heading2"/>
      </w:pPr>
      <w:r>
        <w:rPr>
          <w:rFonts w:ascii="Arial" w:cs="Arial" w:eastAsia="Arial" w:hAnsi="Arial"/>
          <w:b/>
          <w:bCs/>
        </w:rPr>
        <w:t xml:space="preserve">7.3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36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Responsibility</w:t>
            </w:r>
          </w:p>
        </w:tc>
        <w:tc>
          <w:tcPr>
            <w:tcW w:type="dxa" w:w="26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Provider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oauth-service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Google + Microsoft OAuth start/callback, token refresh, revoke</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Both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sync-worker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Backfill + delta, calls matcher, writes DB</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Both (pluggable adapter)</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gmail-adapter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Gmail REST client, watch, history</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Google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graph-adapter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MSAL, Graph REST client, subscriptions, delta</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Microsoft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pubsub-receiver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Gmail push endpoint, verifies JWT, enqueues</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Google</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graph-webhook-receiver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MS Graph notification endpoint, echoes validationToken, enqueues</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Microsoft</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subscription-refresher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Renew users.watch and Graph subscriptions before TTL</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Both</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matcher</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4-strategy match against candidate index</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Shared</w:t>
            </w:r>
          </w:p>
        </w:tc>
      </w:tr>
      <w:t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purge-service</w:t>
            </w:r>
          </w:p>
        </w:tc>
        <w:tc>
          <w:tcPr>
            <w:tcW w:type="dxa" w:w="4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Cascade delete on disconnect or candidate delete</w:t>
            </w:r>
          </w:p>
        </w:tc>
        <w:tc>
          <w:tcPr>
            <w:tcW w:type="dxa" w:w="26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Shared</w:t>
            </w:r>
          </w:p>
        </w:tc>
      </w:tr>
    </w:tbl>
    <w:p>
      <w:pPr>
        <w:pStyle w:val="Heading2"/>
      </w:pPr>
      <w:r>
        <w:rPr>
          <w:rFonts w:ascii="Arial" w:cs="Arial" w:eastAsia="Arial" w:hAnsi="Arial"/>
          <w:b/>
          <w:bCs/>
        </w:rPr>
        <w:t xml:space="preserve">7.4 Rate limits &amp; quota</w:t>
      </w:r>
    </w:p>
    <w:p>
      <w:pPr>
        <w:pStyle w:val="ListParagraph"/>
        <w:numPr>
          <w:ilvl w:val="0"/>
          <w:numId w:val="2"/>
        </w:numPr>
      </w:pPr>
      <w:r>
        <w:rPr>
          <w:rFonts w:ascii="Arial" w:cs="Arial" w:eastAsia="Arial" w:hAnsi="Arial"/>
        </w:rPr>
        <w:t xml:space="preserve">Google: 250 units/user/sec; messages.get = 5 units. 90-day backfill ~10k messages = 50k units. Throttle per-user to 20 req/s.</w:t>
      </w:r>
    </w:p>
    <w:p>
      <w:pPr>
        <w:pStyle w:val="ListParagraph"/>
        <w:numPr>
          <w:ilvl w:val="0"/>
          <w:numId w:val="2"/>
        </w:numPr>
      </w:pPr>
      <w:r>
        <w:rPr>
          <w:rFonts w:ascii="Arial" w:cs="Arial" w:eastAsia="Arial" w:hAnsi="Arial"/>
        </w:rPr>
        <w:t xml:space="preserve">Microsoft: 10,000 requests per 10 minutes per mailbox per app is the typical ceiling, but undocumented and varies. Respect Retry-After headers strictly; treat 429 and 503 identically with exponential backoff.</w:t>
      </w:r>
    </w:p>
    <w:p>
      <w:pPr>
        <w:pStyle w:val="ListParagraph"/>
        <w:numPr>
          <w:ilvl w:val="0"/>
          <w:numId w:val="2"/>
        </w:numPr>
      </w:pPr>
      <w:r>
        <w:rPr>
          <w:rFonts w:ascii="Arial" w:cs="Arial" w:eastAsia="Arial" w:hAnsi="Arial"/>
        </w:rPr>
        <w:t xml:space="preserve">Microsoft Graph also enforces a `Prefer: outlook.body-content-type="text"` hint to reduce payload size on bulk fetches — use it during backfill, not for interactive requests.</w:t>
      </w:r>
    </w:p>
    <w:p>
      <w:pPr>
        <w:pStyle w:val="ListParagraph"/>
        <w:numPr>
          <w:ilvl w:val="0"/>
          <w:numId w:val="2"/>
        </w:numPr>
      </w:pPr>
      <w:r>
        <w:rPr>
          <w:rFonts w:ascii="Arial" w:cs="Arial" w:eastAsia="Arial" w:hAnsi="Arial"/>
        </w:rPr>
        <w:t xml:space="preserve">Both: exp backoff, max 6 retries; surface 'Sync paused — will retry' after 3 failed pushes.</w:t>
      </w:r>
    </w:p>
    <w:p>
      <w:pPr>
        <w:pStyle w:val="Heading1"/>
      </w:pPr>
      <w:r>
        <w:rPr>
          <w:rFonts w:ascii="Arial" w:cs="Arial" w:eastAsia="Arial" w:hAnsi="Arial"/>
          <w:b/>
          <w:bCs/>
        </w:rPr>
        <w:t xml:space="preserve">8. Data model</w:t>
      </w:r>
    </w:p>
    <w:p>
      <w:pPr>
        <w:spacing w:after="120"/>
      </w:pPr>
      <w:r>
        <w:rPr>
          <w:rFonts w:ascii="Arial" w:cs="Arial" w:eastAsia="Arial" w:hAnsi="Arial"/>
        </w:rPr>
        <w:t xml:space="preserve">Generalised to cover both providers. Additive — no changes to existing candidate schema.</w:t>
      </w:r>
    </w:p>
    <w:p>
      <w:pPr>
        <w:spacing w:after="80"/>
      </w:pPr>
      <w:r>
        <w:rPr>
          <w:rFonts w:ascii="Courier New" w:cs="Courier New" w:eastAsia="Courier New" w:hAnsi="Courier New"/>
          <w:sz w:val="20"/>
          <w:szCs w:val="20"/>
        </w:rPr>
        <w:t xml:space="preserve">provider_connections (</w:t>
      </w:r>
    </w:p>
    <w:p>
      <w:pPr>
        <w:spacing w:after="80"/>
      </w:pPr>
      <w:r>
        <w:rPr>
          <w:rFonts w:ascii="Courier New" w:cs="Courier New" w:eastAsia="Courier New" w:hAnsi="Courier New"/>
          <w:sz w:val="20"/>
          <w:szCs w:val="20"/>
        </w:rPr>
        <w:t xml:space="preserve">  id uuid pk,</w:t>
      </w:r>
    </w:p>
    <w:p>
      <w:pPr>
        <w:spacing w:after="80"/>
      </w:pPr>
      <w:r>
        <w:rPr>
          <w:rFonts w:ascii="Courier New" w:cs="Courier New" w:eastAsia="Courier New" w:hAnsi="Courier New"/>
          <w:sz w:val="20"/>
          <w:szCs w:val="20"/>
        </w:rPr>
        <w:t xml:space="preserve">  user_id uuid fk → users.id,</w:t>
      </w:r>
    </w:p>
    <w:p>
      <w:pPr>
        <w:spacing w:after="80"/>
      </w:pPr>
      <w:r>
        <w:rPr>
          <w:rFonts w:ascii="Courier New" w:cs="Courier New" w:eastAsia="Courier New" w:hAnsi="Courier New"/>
          <w:sz w:val="20"/>
          <w:szCs w:val="20"/>
        </w:rPr>
        <w:t xml:space="preserve">  provider enum('google','microsoft') not null,</w:t>
      </w:r>
    </w:p>
    <w:p>
      <w:pPr>
        <w:spacing w:after="80"/>
      </w:pPr>
      <w:r>
        <w:rPr>
          <w:rFonts w:ascii="Courier New" w:cs="Courier New" w:eastAsia="Courier New" w:hAnsi="Courier New"/>
          <w:sz w:val="20"/>
          <w:szCs w:val="20"/>
        </w:rPr>
        <w:t xml:space="preserve">  provider_sub text not null,              -- stable user id from provider</w:t>
      </w:r>
    </w:p>
    <w:p>
      <w:pPr>
        <w:spacing w:after="80"/>
      </w:pPr>
      <w:r>
        <w:rPr>
          <w:rFonts w:ascii="Courier New" w:cs="Courier New" w:eastAsia="Courier New" w:hAnsi="Courier New"/>
          <w:sz w:val="20"/>
          <w:szCs w:val="20"/>
        </w:rPr>
        <w:t xml:space="preserve">  email citext not null,</w:t>
      </w:r>
    </w:p>
    <w:p>
      <w:pPr>
        <w:spacing w:after="80"/>
      </w:pPr>
      <w:r>
        <w:rPr>
          <w:rFonts w:ascii="Courier New" w:cs="Courier New" w:eastAsia="Courier New" w:hAnsi="Courier New"/>
          <w:sz w:val="20"/>
          <w:szCs w:val="20"/>
        </w:rPr>
        <w:t xml:space="preserve">  ms_tenant_id uuid,                        -- null for google</w:t>
      </w:r>
    </w:p>
    <w:p>
      <w:pPr>
        <w:spacing w:after="80"/>
      </w:pPr>
      <w:r>
        <w:rPr>
          <w:rFonts w:ascii="Courier New" w:cs="Courier New" w:eastAsia="Courier New" w:hAnsi="Courier New"/>
          <w:sz w:val="20"/>
          <w:szCs w:val="20"/>
        </w:rPr>
        <w:t xml:space="preserve">  refresh_token_secret_ref text,</w:t>
      </w:r>
    </w:p>
    <w:p>
      <w:pPr>
        <w:spacing w:after="80"/>
      </w:pPr>
      <w:r>
        <w:rPr>
          <w:rFonts w:ascii="Courier New" w:cs="Courier New" w:eastAsia="Courier New" w:hAnsi="Courier New"/>
          <w:sz w:val="20"/>
          <w:szCs w:val="20"/>
        </w:rPr>
        <w:t xml:space="preserve">  access_token_expires_at timestamptz,</w:t>
      </w:r>
    </w:p>
    <w:p>
      <w:pPr>
        <w:spacing w:after="80"/>
      </w:pPr>
      <w:r>
        <w:rPr>
          <w:rFonts w:ascii="Courier New" w:cs="Courier New" w:eastAsia="Courier New" w:hAnsi="Courier New"/>
          <w:sz w:val="20"/>
          <w:szCs w:val="20"/>
        </w:rPr>
        <w:t xml:space="preserve">  scopes text[] not null,</w:t>
      </w:r>
    </w:p>
    <w:p>
      <w:pPr>
        <w:spacing w:after="80"/>
      </w:pPr>
      <w:r>
        <w:rPr>
          <w:rFonts w:ascii="Courier New" w:cs="Courier New" w:eastAsia="Courier New" w:hAnsi="Courier New"/>
          <w:sz w:val="20"/>
          <w:szCs w:val="20"/>
        </w:rPr>
        <w:t xml:space="preserve">  realtime_subscription_id text,            -- gmail watch resp, or graph sub id</w:t>
      </w:r>
    </w:p>
    <w:p>
      <w:pPr>
        <w:spacing w:after="80"/>
      </w:pPr>
      <w:r>
        <w:rPr>
          <w:rFonts w:ascii="Courier New" w:cs="Courier New" w:eastAsia="Courier New" w:hAnsi="Courier New"/>
          <w:sz w:val="20"/>
          <w:szCs w:val="20"/>
        </w:rPr>
        <w:t xml:space="preserve">  realtime_expires_at timestamptz,</w:t>
      </w:r>
    </w:p>
    <w:p>
      <w:pPr>
        <w:spacing w:after="80"/>
      </w:pPr>
      <w:r>
        <w:rPr>
          <w:rFonts w:ascii="Courier New" w:cs="Courier New" w:eastAsia="Courier New" w:hAnsi="Courier New"/>
          <w:sz w:val="20"/>
          <w:szCs w:val="20"/>
        </w:rPr>
        <w:t xml:space="preserve">  delta_cursor text,                        -- historyId (google) or deltaLink (microsoft)</w:t>
      </w:r>
    </w:p>
    <w:p>
      <w:pPr>
        <w:spacing w:after="80"/>
      </w:pPr>
      <w:r>
        <w:rPr>
          <w:rFonts w:ascii="Courier New" w:cs="Courier New" w:eastAsia="Courier New" w:hAnsi="Courier New"/>
          <w:sz w:val="20"/>
          <w:szCs w:val="20"/>
        </w:rPr>
        <w:t xml:space="preserve">  sync_enabled boolean default true,</w:t>
      </w:r>
    </w:p>
    <w:p>
      <w:pPr>
        <w:spacing w:after="80"/>
      </w:pPr>
      <w:r>
        <w:rPr>
          <w:rFonts w:ascii="Courier New" w:cs="Courier New" w:eastAsia="Courier New" w:hAnsi="Courier New"/>
          <w:sz w:val="20"/>
          <w:szCs w:val="20"/>
        </w:rPr>
        <w:t xml:space="preserve">  backfill_completed_at timestamptz,</w:t>
      </w:r>
    </w:p>
    <w:p>
      <w:pPr>
        <w:spacing w:after="80"/>
      </w:pPr>
      <w:r>
        <w:rPr>
          <w:rFonts w:ascii="Courier New" w:cs="Courier New" w:eastAsia="Courier New" w:hAnsi="Courier New"/>
          <w:sz w:val="20"/>
          <w:szCs w:val="20"/>
        </w:rPr>
        <w:t xml:space="preserve">  created_at timestamptz, updated_at timestamptz,</w:t>
      </w:r>
    </w:p>
    <w:p>
      <w:pPr>
        <w:spacing w:after="80"/>
      </w:pPr>
      <w:r>
        <w:rPr>
          <w:rFonts w:ascii="Courier New" w:cs="Courier New" w:eastAsia="Courier New" w:hAnsi="Courier New"/>
          <w:sz w:val="20"/>
          <w:szCs w:val="20"/>
        </w:rPr>
        <w:t xml:space="preserve">  unique (user_id, provider) )</w:t>
      </w:r>
    </w:p>
    <w:p>
      <w:pPr>
        <w:spacing w:after="120"/>
      </w:pPr>
      <w:r>
        <w:t xml:space="preserve"/>
      </w:r>
    </w:p>
    <w:p>
      <w:pPr>
        <w:spacing w:after="80"/>
      </w:pPr>
      <w:r>
        <w:rPr>
          <w:rFonts w:ascii="Courier New" w:cs="Courier New" w:eastAsia="Courier New" w:hAnsi="Courier New"/>
          <w:sz w:val="20"/>
          <w:szCs w:val="20"/>
        </w:rPr>
        <w:t xml:space="preserve">ikhaya_tenant_ms_tenants (</w:t>
      </w:r>
    </w:p>
    <w:p>
      <w:pPr>
        <w:spacing w:after="80"/>
      </w:pPr>
      <w:r>
        <w:rPr>
          <w:rFonts w:ascii="Courier New" w:cs="Courier New" w:eastAsia="Courier New" w:hAnsi="Courier New"/>
          <w:sz w:val="20"/>
          <w:szCs w:val="20"/>
        </w:rPr>
        <w:t xml:space="preserve">  ikhaya_tenant_id uuid fk,</w:t>
      </w:r>
    </w:p>
    <w:p>
      <w:pPr>
        <w:spacing w:after="80"/>
      </w:pPr>
      <w:r>
        <w:rPr>
          <w:rFonts w:ascii="Courier New" w:cs="Courier New" w:eastAsia="Courier New" w:hAnsi="Courier New"/>
          <w:sz w:val="20"/>
          <w:szCs w:val="20"/>
        </w:rPr>
        <w:t xml:space="preserve">  ms_tenant_id uuid,</w:t>
      </w:r>
    </w:p>
    <w:p>
      <w:pPr>
        <w:spacing w:after="80"/>
      </w:pPr>
      <w:r>
        <w:rPr>
          <w:rFonts w:ascii="Courier New" w:cs="Courier New" w:eastAsia="Courier New" w:hAnsi="Courier New"/>
          <w:sz w:val="20"/>
          <w:szCs w:val="20"/>
        </w:rPr>
        <w:t xml:space="preserve">  admin_consented boolean default false,</w:t>
      </w:r>
    </w:p>
    <w:p>
      <w:pPr>
        <w:spacing w:after="80"/>
      </w:pPr>
      <w:r>
        <w:rPr>
          <w:rFonts w:ascii="Courier New" w:cs="Courier New" w:eastAsia="Courier New" w:hAnsi="Courier New"/>
          <w:sz w:val="20"/>
          <w:szCs w:val="20"/>
        </w:rPr>
        <w:t xml:space="preserve">  admin_consented_at timestamptz,</w:t>
      </w:r>
    </w:p>
    <w:p>
      <w:pPr>
        <w:spacing w:after="80"/>
      </w:pPr>
      <w:r>
        <w:rPr>
          <w:rFonts w:ascii="Courier New" w:cs="Courier New" w:eastAsia="Courier New" w:hAnsi="Courier New"/>
          <w:sz w:val="20"/>
          <w:szCs w:val="20"/>
        </w:rPr>
        <w:t xml:space="preserve">  admin_consented_by_email text,</w:t>
      </w:r>
    </w:p>
    <w:p>
      <w:pPr>
        <w:spacing w:after="80"/>
      </w:pPr>
      <w:r>
        <w:rPr>
          <w:rFonts w:ascii="Courier New" w:cs="Courier New" w:eastAsia="Courier New" w:hAnsi="Courier New"/>
          <w:sz w:val="20"/>
          <w:szCs w:val="20"/>
        </w:rPr>
        <w:t xml:space="preserve">  primary key (ikhaya_tenant_id, ms_tenant_id) )</w:t>
      </w:r>
    </w:p>
    <w:p>
      <w:pPr>
        <w:spacing w:after="120"/>
      </w:pPr>
      <w:r>
        <w:t xml:space="preserve"/>
      </w:r>
    </w:p>
    <w:p>
      <w:pPr>
        <w:spacing w:after="80"/>
      </w:pPr>
      <w:r>
        <w:rPr>
          <w:rFonts w:ascii="Courier New" w:cs="Courier New" w:eastAsia="Courier New" w:hAnsi="Courier New"/>
          <w:sz w:val="20"/>
          <w:szCs w:val="20"/>
        </w:rPr>
        <w:t xml:space="preserve">email_threads (</w:t>
      </w:r>
    </w:p>
    <w:p>
      <w:pPr>
        <w:spacing w:after="80"/>
      </w:pPr>
      <w:r>
        <w:rPr>
          <w:rFonts w:ascii="Courier New" w:cs="Courier New" w:eastAsia="Courier New" w:hAnsi="Courier New"/>
          <w:sz w:val="20"/>
          <w:szCs w:val="20"/>
        </w:rPr>
        <w:t xml:space="preserve">  id uuid pk, user_id uuid, tenant_id uuid,</w:t>
      </w:r>
    </w:p>
    <w:p>
      <w:pPr>
        <w:spacing w:after="80"/>
      </w:pPr>
      <w:r>
        <w:rPr>
          <w:rFonts w:ascii="Courier New" w:cs="Courier New" w:eastAsia="Courier New" w:hAnsi="Courier New"/>
          <w:sz w:val="20"/>
          <w:szCs w:val="20"/>
        </w:rPr>
        <w:t xml:space="preserve">  provider enum('google','microsoft'),</w:t>
      </w:r>
    </w:p>
    <w:p>
      <w:pPr>
        <w:spacing w:after="80"/>
      </w:pPr>
      <w:r>
        <w:rPr>
          <w:rFonts w:ascii="Courier New" w:cs="Courier New" w:eastAsia="Courier New" w:hAnsi="Courier New"/>
          <w:sz w:val="20"/>
          <w:szCs w:val="20"/>
        </w:rPr>
        <w:t xml:space="preserve">  provider_thread_id text,                  -- gmail threadId or ms conversationId</w:t>
      </w:r>
    </w:p>
    <w:p>
      <w:pPr>
        <w:spacing w:after="80"/>
      </w:pPr>
      <w:r>
        <w:rPr>
          <w:rFonts w:ascii="Courier New" w:cs="Courier New" w:eastAsia="Courier New" w:hAnsi="Courier New"/>
          <w:sz w:val="20"/>
          <w:szCs w:val="20"/>
        </w:rPr>
        <w:t xml:space="preserve">  subject text, participant_count int,</w:t>
      </w:r>
    </w:p>
    <w:p>
      <w:pPr>
        <w:spacing w:after="80"/>
      </w:pPr>
      <w:r>
        <w:rPr>
          <w:rFonts w:ascii="Courier New" w:cs="Courier New" w:eastAsia="Courier New" w:hAnsi="Courier New"/>
          <w:sz w:val="20"/>
          <w:szCs w:val="20"/>
        </w:rPr>
        <w:t xml:space="preserve">  first_msg_at timestamptz, last_msg_at timestamptz,</w:t>
      </w:r>
    </w:p>
    <w:p>
      <w:pPr>
        <w:spacing w:after="80"/>
      </w:pPr>
      <w:r>
        <w:rPr>
          <w:rFonts w:ascii="Courier New" w:cs="Courier New" w:eastAsia="Courier New" w:hAnsi="Courier New"/>
          <w:sz w:val="20"/>
          <w:szCs w:val="20"/>
        </w:rPr>
        <w:t xml:space="preserve">  unique (user_id, provider, provider_thread_id) )</w:t>
      </w:r>
    </w:p>
    <w:p>
      <w:pPr>
        <w:spacing w:after="120"/>
      </w:pPr>
      <w:r>
        <w:t xml:space="preserve"/>
      </w:r>
    </w:p>
    <w:p>
      <w:pPr>
        <w:spacing w:after="80"/>
      </w:pPr>
      <w:r>
        <w:rPr>
          <w:rFonts w:ascii="Courier New" w:cs="Courier New" w:eastAsia="Courier New" w:hAnsi="Courier New"/>
          <w:sz w:val="20"/>
          <w:szCs w:val="20"/>
        </w:rPr>
        <w:t xml:space="preserve">email_messages (</w:t>
      </w:r>
    </w:p>
    <w:p>
      <w:pPr>
        <w:spacing w:after="80"/>
      </w:pPr>
      <w:r>
        <w:rPr>
          <w:rFonts w:ascii="Courier New" w:cs="Courier New" w:eastAsia="Courier New" w:hAnsi="Courier New"/>
          <w:sz w:val="20"/>
          <w:szCs w:val="20"/>
        </w:rPr>
        <w:t xml:space="preserve">  id uuid pk, thread_id uuid fk,</w:t>
      </w:r>
    </w:p>
    <w:p>
      <w:pPr>
        <w:spacing w:after="80"/>
      </w:pPr>
      <w:r>
        <w:rPr>
          <w:rFonts w:ascii="Courier New" w:cs="Courier New" w:eastAsia="Courier New" w:hAnsi="Courier New"/>
          <w:sz w:val="20"/>
          <w:szCs w:val="20"/>
        </w:rPr>
        <w:t xml:space="preserve">  user_id uuid, tenant_id uuid,</w:t>
      </w:r>
    </w:p>
    <w:p>
      <w:pPr>
        <w:spacing w:after="80"/>
      </w:pPr>
      <w:r>
        <w:rPr>
          <w:rFonts w:ascii="Courier New" w:cs="Courier New" w:eastAsia="Courier New" w:hAnsi="Courier New"/>
          <w:sz w:val="20"/>
          <w:szCs w:val="20"/>
        </w:rPr>
        <w:t xml:space="preserve">  provider enum('google','microsoft'),</w:t>
      </w:r>
    </w:p>
    <w:p>
      <w:pPr>
        <w:spacing w:after="80"/>
      </w:pPr>
      <w:r>
        <w:rPr>
          <w:rFonts w:ascii="Courier New" w:cs="Courier New" w:eastAsia="Courier New" w:hAnsi="Courier New"/>
          <w:sz w:val="20"/>
          <w:szCs w:val="20"/>
        </w:rPr>
        <w:t xml:space="preserve">  provider_message_id text,                 -- gmail id or ms message id</w:t>
      </w:r>
    </w:p>
    <w:p>
      <w:pPr>
        <w:spacing w:after="80"/>
      </w:pPr>
      <w:r>
        <w:rPr>
          <w:rFonts w:ascii="Courier New" w:cs="Courier New" w:eastAsia="Courier New" w:hAnsi="Courier New"/>
          <w:sz w:val="20"/>
          <w:szCs w:val="20"/>
        </w:rPr>
        <w:t xml:space="preserve">  internet_message_id text,                 -- rfc822 message-id, cross-provider</w:t>
      </w:r>
    </w:p>
    <w:p>
      <w:pPr>
        <w:spacing w:after="80"/>
      </w:pPr>
      <w:r>
        <w:rPr>
          <w:rFonts w:ascii="Courier New" w:cs="Courier New" w:eastAsia="Courier New" w:hAnsi="Courier New"/>
          <w:sz w:val="20"/>
          <w:szCs w:val="20"/>
        </w:rPr>
        <w:t xml:space="preserve">  sent_at timestamptz, direction enum('inbound','outbound'),</w:t>
      </w:r>
    </w:p>
    <w:p>
      <w:pPr>
        <w:spacing w:after="80"/>
      </w:pPr>
      <w:r>
        <w:rPr>
          <w:rFonts w:ascii="Courier New" w:cs="Courier New" w:eastAsia="Courier New" w:hAnsi="Courier New"/>
          <w:sz w:val="20"/>
          <w:szCs w:val="20"/>
        </w:rPr>
        <w:t xml:space="preserve">  from_addr citext, to_addrs citext[], cc_addrs citext[], bcc_addrs citext[],</w:t>
      </w:r>
    </w:p>
    <w:p>
      <w:pPr>
        <w:spacing w:after="80"/>
      </w:pPr>
      <w:r>
        <w:rPr>
          <w:rFonts w:ascii="Courier New" w:cs="Courier New" w:eastAsia="Courier New" w:hAnsi="Courier New"/>
          <w:sz w:val="20"/>
          <w:szCs w:val="20"/>
        </w:rPr>
        <w:t xml:space="preserve">  subject text, snippet text,</w:t>
      </w:r>
    </w:p>
    <w:p>
      <w:pPr>
        <w:spacing w:after="80"/>
      </w:pPr>
      <w:r>
        <w:rPr>
          <w:rFonts w:ascii="Courier New" w:cs="Courier New" w:eastAsia="Courier New" w:hAnsi="Courier New"/>
          <w:sz w:val="20"/>
          <w:szCs w:val="20"/>
        </w:rPr>
        <w:t xml:space="preserve">  body_html_s3_key text, body_text_s3_key text,</w:t>
      </w:r>
    </w:p>
    <w:p>
      <w:pPr>
        <w:spacing w:after="80"/>
      </w:pPr>
      <w:r>
        <w:rPr>
          <w:rFonts w:ascii="Courier New" w:cs="Courier New" w:eastAsia="Courier New" w:hAnsi="Courier New"/>
          <w:sz w:val="20"/>
          <w:szCs w:val="20"/>
        </w:rPr>
        <w:t xml:space="preserve">  labels_or_categories text[], raw_headers_s3_key text,</w:t>
      </w:r>
    </w:p>
    <w:p>
      <w:pPr>
        <w:spacing w:after="80"/>
      </w:pPr>
      <w:r>
        <w:rPr>
          <w:rFonts w:ascii="Courier New" w:cs="Courier New" w:eastAsia="Courier New" w:hAnsi="Courier New"/>
          <w:sz w:val="20"/>
          <w:szCs w:val="20"/>
        </w:rPr>
        <w:t xml:space="preserve">  unique (user_id, provider, provider_message_id) )</w:t>
      </w:r>
    </w:p>
    <w:p>
      <w:pPr>
        <w:spacing w:after="120"/>
      </w:pPr>
      <w:r>
        <w:t xml:space="preserve"/>
      </w:r>
    </w:p>
    <w:p>
      <w:pPr>
        <w:spacing w:after="80"/>
      </w:pPr>
      <w:r>
        <w:rPr>
          <w:rFonts w:ascii="Courier New" w:cs="Courier New" w:eastAsia="Courier New" w:hAnsi="Courier New"/>
          <w:sz w:val="20"/>
          <w:szCs w:val="20"/>
        </w:rPr>
        <w:t xml:space="preserve">candidate_email_links (</w:t>
      </w:r>
    </w:p>
    <w:p>
      <w:pPr>
        <w:spacing w:after="80"/>
      </w:pPr>
      <w:r>
        <w:rPr>
          <w:rFonts w:ascii="Courier New" w:cs="Courier New" w:eastAsia="Courier New" w:hAnsi="Courier New"/>
          <w:sz w:val="20"/>
          <w:szCs w:val="20"/>
        </w:rPr>
        <w:t xml:space="preserve">  id uuid pk, candidate_id uuid fk, message_id uuid fk,</w:t>
      </w:r>
    </w:p>
    <w:p>
      <w:pPr>
        <w:spacing w:after="80"/>
      </w:pPr>
      <w:r>
        <w:rPr>
          <w:rFonts w:ascii="Courier New" w:cs="Courier New" w:eastAsia="Courier New" w:hAnsi="Courier New"/>
          <w:sz w:val="20"/>
          <w:szCs w:val="20"/>
        </w:rPr>
        <w:t xml:space="preserve">  match_strategy enum('exact','alt','thread','fuzzy'),</w:t>
      </w:r>
    </w:p>
    <w:p>
      <w:pPr>
        <w:spacing w:after="80"/>
      </w:pPr>
      <w:r>
        <w:rPr>
          <w:rFonts w:ascii="Courier New" w:cs="Courier New" w:eastAsia="Courier New" w:hAnsi="Courier New"/>
          <w:sz w:val="20"/>
          <w:szCs w:val="20"/>
        </w:rPr>
        <w:t xml:space="preserve">  match_confidence numeric(4,3),</w:t>
      </w:r>
    </w:p>
    <w:p>
      <w:pPr>
        <w:spacing w:after="80"/>
      </w:pPr>
      <w:r>
        <w:rPr>
          <w:rFonts w:ascii="Courier New" w:cs="Courier New" w:eastAsia="Courier New" w:hAnsi="Courier New"/>
          <w:sz w:val="20"/>
          <w:szCs w:val="20"/>
        </w:rPr>
        <w:t xml:space="preserve">  matched_address citext, status enum('active','pending_review','rejected'),</w:t>
      </w:r>
    </w:p>
    <w:p>
      <w:pPr>
        <w:spacing w:after="80"/>
      </w:pPr>
      <w:r>
        <w:rPr>
          <w:rFonts w:ascii="Courier New" w:cs="Courier New" w:eastAsia="Courier New" w:hAnsi="Courier New"/>
          <w:sz w:val="20"/>
          <w:szCs w:val="20"/>
        </w:rPr>
        <w:t xml:space="preserve">  reviewed_by uuid, reviewed_at timestamptz )</w:t>
      </w:r>
    </w:p>
    <w:p>
      <w:pPr>
        <w:spacing w:after="120"/>
      </w:pPr>
      <w:r>
        <w:t xml:space="preserve"/>
      </w:r>
    </w:p>
    <w:p>
      <w:pPr>
        <w:spacing w:after="80"/>
      </w:pPr>
      <w:r>
        <w:rPr>
          <w:rFonts w:ascii="Courier New" w:cs="Courier New" w:eastAsia="Courier New" w:hAnsi="Courier New"/>
          <w:sz w:val="20"/>
          <w:szCs w:val="20"/>
        </w:rPr>
        <w:t xml:space="preserve">sync_events (</w:t>
      </w:r>
    </w:p>
    <w:p>
      <w:pPr>
        <w:spacing w:after="80"/>
      </w:pPr>
      <w:r>
        <w:rPr>
          <w:rFonts w:ascii="Courier New" w:cs="Courier New" w:eastAsia="Courier New" w:hAnsi="Courier New"/>
          <w:sz w:val="20"/>
          <w:szCs w:val="20"/>
        </w:rPr>
        <w:t xml:space="preserve">  id bigserial pk, user_id uuid, provider text, event_type text,</w:t>
      </w:r>
    </w:p>
    <w:p>
      <w:pPr>
        <w:spacing w:after="80"/>
      </w:pPr>
      <w:r>
        <w:rPr>
          <w:rFonts w:ascii="Courier New" w:cs="Courier New" w:eastAsia="Courier New" w:hAnsi="Courier New"/>
          <w:sz w:val="20"/>
          <w:szCs w:val="20"/>
        </w:rPr>
        <w:t xml:space="preserve">  cursor_before text, cursor_after text,</w:t>
      </w:r>
    </w:p>
    <w:p>
      <w:pPr>
        <w:spacing w:after="80"/>
      </w:pPr>
      <w:r>
        <w:rPr>
          <w:rFonts w:ascii="Courier New" w:cs="Courier New" w:eastAsia="Courier New" w:hAnsi="Courier New"/>
          <w:sz w:val="20"/>
          <w:szCs w:val="20"/>
        </w:rPr>
        <w:t xml:space="preserve">  messages_processed int, matches_created int,</w:t>
      </w:r>
    </w:p>
    <w:p>
      <w:pPr>
        <w:spacing w:after="80"/>
      </w:pPr>
      <w:r>
        <w:rPr>
          <w:rFonts w:ascii="Courier New" w:cs="Courier New" w:eastAsia="Courier New" w:hAnsi="Courier New"/>
          <w:sz w:val="20"/>
          <w:szCs w:val="20"/>
        </w:rPr>
        <w:t xml:space="preserve">  error_code text, error_body jsonb, occurred_at timestamptz )</w:t>
      </w:r>
    </w:p>
    <w:p>
      <w:pPr>
        <w:spacing w:after="120"/>
      </w:pPr>
      <w:r>
        <w:t xml:space="preserve"/>
      </w:r>
    </w:p>
    <w:p>
      <w:pPr>
        <w:spacing w:after="120"/>
      </w:pPr>
      <w:r>
        <w:rPr>
          <w:rFonts w:ascii="Arial" w:cs="Arial" w:eastAsia="Arial" w:hAnsi="Arial"/>
        </w:rPr>
        <w:t xml:space="preserve">Bodies stored in S3/R2 keyed by (tenant_id, provider, provider_message_id). Postgres keeps only searchable headers + snippet. `pg_trgm` GIN on subject + snippet for in-app search. S3 objects encrypted per-tenant KMS CMK.</w:t>
      </w:r>
    </w:p>
    <w:p>
      <w:pPr>
        <w:spacing w:after="120"/>
      </w:pPr>
      <w:r>
        <w:rPr>
          <w:rFonts w:ascii="Arial" w:cs="Arial" w:eastAsia="Arial" w:hAnsi="Arial"/>
        </w:rPr>
        <w:t xml:space="preserve">Note: `internet_message_id` (the RFC 822 `Message-ID` header) is the one truly cross-provider identifier. We index it to detect the rare case where the same email appears in two users' mailboxes (both sender and recipient are Ikhaya users) — we deduplicate body storage and keep per-user link records.</w:t>
      </w:r>
    </w:p>
    <w:p>
      <w:pPr>
        <w:pStyle w:val="Heading1"/>
      </w:pPr>
      <w:r>
        <w:rPr>
          <w:rFonts w:ascii="Arial" w:cs="Arial" w:eastAsia="Arial" w:hAnsi="Arial"/>
          <w:b/>
          <w:bCs/>
        </w:rPr>
        <w:t xml:space="preserve">9. Security, privacy, compliance</w:t>
      </w:r>
    </w:p>
    <w:p>
      <w:pPr>
        <w:pStyle w:val="Heading2"/>
      </w:pPr>
      <w:r>
        <w:rPr>
          <w:rFonts w:ascii="Arial" w:cs="Arial" w:eastAsia="Arial" w:hAnsi="Arial"/>
          <w:b/>
          <w:bCs/>
        </w:rPr>
        <w:t xml:space="preserve">9.1 Data minimisation</w:t>
      </w:r>
    </w:p>
    <w:p>
      <w:pPr>
        <w:pStyle w:val="ListParagraph"/>
        <w:numPr>
          <w:ilvl w:val="0"/>
          <w:numId w:val="2"/>
        </w:numPr>
      </w:pPr>
      <w:r>
        <w:rPr>
          <w:rFonts w:ascii="Arial" w:cs="Arial" w:eastAsia="Arial" w:hAnsi="Arial"/>
        </w:rPr>
        <w:t xml:space="preserve">Store only messages that match a candidate (or threads containing a match). Non-matched messages fetched at match time then discarded.</w:t>
      </w:r>
    </w:p>
    <w:p>
      <w:pPr>
        <w:pStyle w:val="ListParagraph"/>
        <w:numPr>
          <w:ilvl w:val="0"/>
          <w:numId w:val="2"/>
        </w:numPr>
      </w:pPr>
      <w:r>
        <w:rPr>
          <w:rFonts w:ascii="Arial" w:cs="Arial" w:eastAsia="Arial" w:hAnsi="Arial"/>
        </w:rPr>
        <w:t xml:space="preserve">Gmail: filter out drafts, spam, trash, chats via `q=` at query time.</w:t>
      </w:r>
    </w:p>
    <w:p>
      <w:pPr>
        <w:pStyle w:val="ListParagraph"/>
        <w:numPr>
          <w:ilvl w:val="0"/>
          <w:numId w:val="2"/>
        </w:numPr>
      </w:pPr>
      <w:r>
        <w:rPr>
          <w:rFonts w:ascii="Arial" w:cs="Arial" w:eastAsia="Arial" w:hAnsi="Arial"/>
        </w:rPr>
        <w:t xml:space="preserve">Microsoft: exclude Drafts, Junk Email, Deleted Items folders via folder-scoped endpoints; never query `/me/messages` directly.</w:t>
      </w:r>
    </w:p>
    <w:p>
      <w:pPr>
        <w:pStyle w:val="ListParagraph"/>
        <w:numPr>
          <w:ilvl w:val="0"/>
          <w:numId w:val="2"/>
        </w:numPr>
      </w:pPr>
      <w:r>
        <w:rPr>
          <w:rFonts w:ascii="Arial" w:cs="Arial" w:eastAsia="Arial" w:hAnsi="Arial"/>
        </w:rPr>
        <w:t xml:space="preserve">Attachments: metadata only in v1 (filename, size, mime); fetch on demand when user clicks.</w:t>
      </w:r>
    </w:p>
    <w:p>
      <w:pPr>
        <w:pStyle w:val="ListParagraph"/>
        <w:numPr>
          <w:ilvl w:val="0"/>
          <w:numId w:val="2"/>
        </w:numPr>
      </w:pPr>
      <w:r>
        <w:rPr>
          <w:rFonts w:ascii="Arial" w:cs="Arial" w:eastAsia="Arial" w:hAnsi="Arial"/>
        </w:rPr>
        <w:t xml:space="preserve">Body HTML sanitised (DOMPurify) before storage; tracking pixels stripped.</w:t>
      </w:r>
    </w:p>
    <w:p>
      <w:pPr>
        <w:pStyle w:val="Heading2"/>
      </w:pPr>
      <w:r>
        <w:rPr>
          <w:rFonts w:ascii="Arial" w:cs="Arial" w:eastAsia="Arial" w:hAnsi="Arial"/>
          <w:b/>
          <w:bCs/>
        </w:rPr>
        <w:t xml:space="preserve">9.2 Tokens &amp; secrets</w:t>
      </w:r>
    </w:p>
    <w:p>
      <w:pPr>
        <w:pStyle w:val="ListParagraph"/>
        <w:numPr>
          <w:ilvl w:val="0"/>
          <w:numId w:val="2"/>
        </w:numPr>
      </w:pPr>
      <w:r>
        <w:rPr>
          <w:rFonts w:ascii="Arial" w:cs="Arial" w:eastAsia="Arial" w:hAnsi="Arial"/>
        </w:rPr>
        <w:t xml:space="preserve">Refresh tokens in AWS Secrets Manager (or Vault), envelope-encrypted with per-tenant KMS CMK.</w:t>
      </w:r>
    </w:p>
    <w:p>
      <w:pPr>
        <w:pStyle w:val="ListParagraph"/>
        <w:numPr>
          <w:ilvl w:val="0"/>
          <w:numId w:val="2"/>
        </w:numPr>
      </w:pPr>
      <w:r>
        <w:rPr>
          <w:rFonts w:ascii="Arial" w:cs="Arial" w:eastAsia="Arial" w:hAnsi="Arial"/>
        </w:rPr>
        <w:t xml:space="preserve">Access tokens in-memory only.</w:t>
      </w:r>
    </w:p>
    <w:p>
      <w:pPr>
        <w:pStyle w:val="ListParagraph"/>
        <w:numPr>
          <w:ilvl w:val="0"/>
          <w:numId w:val="2"/>
        </w:numPr>
      </w:pPr>
      <w:r>
        <w:rPr>
          <w:rFonts w:ascii="Arial" w:cs="Arial" w:eastAsia="Arial" w:hAnsi="Arial"/>
        </w:rPr>
        <w:t xml:space="preserve">Google refresh tokens rotate on use; Microsoft refresh tokens rotate on use with a 90-day rolling inactivity window.</w:t>
      </w:r>
    </w:p>
    <w:p>
      <w:pPr>
        <w:pStyle w:val="ListParagraph"/>
        <w:numPr>
          <w:ilvl w:val="0"/>
          <w:numId w:val="2"/>
        </w:numPr>
      </w:pPr>
      <w:r>
        <w:rPr>
          <w:rFonts w:ascii="Arial" w:cs="Arial" w:eastAsia="Arial" w:hAnsi="Arial"/>
        </w:rPr>
        <w:t xml:space="preserve">On disconnect: call provider's revoke endpoint (Google) or delete the app grant via Graph (Microsoft); purge the secret; purge user-linked messages.</w:t>
      </w:r>
    </w:p>
    <w:p>
      <w:pPr>
        <w:pStyle w:val="Heading2"/>
      </w:pPr>
      <w:r>
        <w:rPr>
          <w:rFonts w:ascii="Arial" w:cs="Arial" w:eastAsia="Arial" w:hAnsi="Arial"/>
          <w:b/>
          <w:bCs/>
        </w:rPr>
        <w:t xml:space="preserve">9.3 Admin controls</w:t>
      </w:r>
    </w:p>
    <w:p>
      <w:pPr>
        <w:pStyle w:val="ListParagraph"/>
        <w:numPr>
          <w:ilvl w:val="0"/>
          <w:numId w:val="2"/>
        </w:numPr>
      </w:pPr>
      <w:r>
        <w:rPr>
          <w:rFonts w:ascii="Arial" w:cs="Arial" w:eastAsia="Arial" w:hAnsi="Arial"/>
        </w:rPr>
        <w:t xml:space="preserve">Ikhaya tenant admin sees which users have each provider connected and last-sync status (not contents).</w:t>
      </w:r>
    </w:p>
    <w:p>
      <w:pPr>
        <w:pStyle w:val="ListParagraph"/>
        <w:numPr>
          <w:ilvl w:val="0"/>
          <w:numId w:val="2"/>
        </w:numPr>
      </w:pPr>
      <w:r>
        <w:rPr>
          <w:rFonts w:ascii="Arial" w:cs="Arial" w:eastAsia="Arial" w:hAnsi="Arial"/>
        </w:rPr>
        <w:t xml:space="preserve">Force-disconnect any user's integration.</w:t>
      </w:r>
    </w:p>
    <w:p>
      <w:pPr>
        <w:pStyle w:val="ListParagraph"/>
        <w:numPr>
          <w:ilvl w:val="0"/>
          <w:numId w:val="2"/>
        </w:numPr>
      </w:pPr>
      <w:r>
        <w:rPr>
          <w:rFonts w:ascii="Arial" w:cs="Arial" w:eastAsia="Arial" w:hAnsi="Arial"/>
        </w:rPr>
        <w:t xml:space="preserve">Tenant-level policy: require Google Workspace (block @gmail.com), require Entra work account (block @outlook.com), or require either.</w:t>
      </w:r>
    </w:p>
    <w:p>
      <w:pPr>
        <w:pStyle w:val="ListParagraph"/>
        <w:numPr>
          <w:ilvl w:val="0"/>
          <w:numId w:val="2"/>
        </w:numPr>
      </w:pPr>
      <w:r>
        <w:rPr>
          <w:rFonts w:ascii="Arial" w:cs="Arial" w:eastAsia="Arial" w:hAnsi="Arial"/>
        </w:rPr>
        <w:t xml:space="preserve">Per-tenant Microsoft admin-consent dashboard: list of Entra tenants used by the workspace, consent state, date, who approved.</w:t>
      </w:r>
    </w:p>
    <w:p>
      <w:pPr>
        <w:pStyle w:val="ListParagraph"/>
        <w:numPr>
          <w:ilvl w:val="0"/>
          <w:numId w:val="2"/>
        </w:numPr>
      </w:pPr>
      <w:r>
        <w:rPr>
          <w:rFonts w:ascii="Arial" w:cs="Arial" w:eastAsia="Arial" w:hAnsi="Arial"/>
        </w:rPr>
        <w:t xml:space="preserve">Export all synced email data for a given user (GDPR subject access request).</w:t>
      </w:r>
    </w:p>
    <w:p>
      <w:pPr>
        <w:pStyle w:val="Heading2"/>
      </w:pPr>
      <w:r>
        <w:rPr>
          <w:rFonts w:ascii="Arial" w:cs="Arial" w:eastAsia="Arial" w:hAnsi="Arial"/>
          <w:b/>
          <w:bCs/>
        </w:rPr>
        <w:t xml:space="preserve">9.4 Provider verification</w:t>
      </w:r>
    </w:p>
    <w:p>
      <w:pPr>
        <w:pStyle w:val="Heading3"/>
      </w:pPr>
      <w:r>
        <w:rPr>
          <w:rFonts w:ascii="Arial" w:cs="Arial" w:eastAsia="Arial" w:hAnsi="Arial"/>
          <w:b/>
          <w:bCs/>
        </w:rPr>
        <w:t xml:space="preserve">Google</w:t>
      </w:r>
    </w:p>
    <w:p>
      <w:pPr>
        <w:pStyle w:val="ListParagraph"/>
        <w:numPr>
          <w:ilvl w:val="0"/>
          <w:numId w:val="2"/>
        </w:numPr>
      </w:pPr>
      <w:r>
        <w:rPr>
          <w:rFonts w:ascii="Arial" w:cs="Arial" w:eastAsia="Arial" w:hAnsi="Arial"/>
        </w:rPr>
        <w:t xml:space="preserve">Restricted scope (gmail.modify) requires OAuth app verification + CASA Tier-2 assessment.</w:t>
      </w:r>
    </w:p>
    <w:p>
      <w:pPr>
        <w:pStyle w:val="ListParagraph"/>
        <w:numPr>
          <w:ilvl w:val="0"/>
          <w:numId w:val="2"/>
        </w:numPr>
      </w:pPr>
      <w:r>
        <w:rPr>
          <w:rFonts w:ascii="Arial" w:cs="Arial" w:eastAsia="Arial" w:hAnsi="Arial"/>
        </w:rPr>
        <w:t xml:space="preserve">Timeline: 6–12 weeks end-to-end. Submit the moment design locks.</w:t>
      </w:r>
    </w:p>
    <w:p>
      <w:pPr>
        <w:pStyle w:val="ListParagraph"/>
        <w:numPr>
          <w:ilvl w:val="0"/>
          <w:numId w:val="2"/>
        </w:numPr>
      </w:pPr>
      <w:r>
        <w:rPr>
          <w:rFonts w:ascii="Arial" w:cs="Arial" w:eastAsia="Arial" w:hAnsi="Arial"/>
        </w:rPr>
        <w:t xml:space="preserve">'Testing' mode (100 test users) during dev to avoid 7-day refresh token expiry.</w:t>
      </w:r>
    </w:p>
    <w:p>
      <w:pPr>
        <w:pStyle w:val="ListParagraph"/>
        <w:numPr>
          <w:ilvl w:val="0"/>
          <w:numId w:val="2"/>
        </w:numPr>
      </w:pPr>
      <w:r>
        <w:rPr>
          <w:rFonts w:ascii="Arial" w:cs="Arial" w:eastAsia="Arial" w:hAnsi="Arial"/>
        </w:rPr>
        <w:t xml:space="preserve">Required assets: privacy policy, homepage, demo video showing each scope's use, YouTube, domain verification.</w:t>
      </w:r>
    </w:p>
    <w:p>
      <w:pPr>
        <w:pStyle w:val="Heading3"/>
      </w:pPr>
      <w:r>
        <w:rPr>
          <w:rFonts w:ascii="Arial" w:cs="Arial" w:eastAsia="Arial" w:hAnsi="Arial"/>
          <w:b/>
          <w:bCs/>
        </w:rPr>
        <w:t xml:space="preserve">Microsoft</w:t>
      </w:r>
    </w:p>
    <w:p>
      <w:pPr>
        <w:pStyle w:val="ListParagraph"/>
        <w:numPr>
          <w:ilvl w:val="0"/>
          <w:numId w:val="2"/>
        </w:numPr>
      </w:pPr>
      <w:r>
        <w:rPr>
          <w:rFonts w:ascii="Arial" w:cs="Arial" w:eastAsia="Arial" w:hAnsi="Arial"/>
        </w:rPr>
        <w:t xml:space="preserve">Publisher verification via a Microsoft Partner Network (MPN) account — register Ikhaya as a verified publisher. Mostly paperwork, ~1 week.</w:t>
      </w:r>
    </w:p>
    <w:p>
      <w:pPr>
        <w:pStyle w:val="ListParagraph"/>
        <w:numPr>
          <w:ilvl w:val="0"/>
          <w:numId w:val="2"/>
        </w:numPr>
      </w:pPr>
      <w:r>
        <w:rPr>
          <w:rFonts w:ascii="Arial" w:cs="Arial" w:eastAsia="Arial" w:hAnsi="Arial"/>
        </w:rPr>
        <w:t xml:space="preserve">App registration in our own Entra tenant, marked multi-tenant, with all scopes declared.</w:t>
      </w:r>
    </w:p>
    <w:p>
      <w:pPr>
        <w:pStyle w:val="ListParagraph"/>
        <w:numPr>
          <w:ilvl w:val="0"/>
          <w:numId w:val="2"/>
        </w:numPr>
      </w:pPr>
      <w:r>
        <w:rPr>
          <w:rFonts w:ascii="Arial" w:cs="Arial" w:eastAsia="Arial" w:hAnsi="Arial"/>
        </w:rPr>
        <w:t xml:space="preserve">No CASA-equivalent. Each customer tenant admin decides whether to allow our app. Enterprise customers will do their own security review — prepare a standardized security Q&amp;A packet (SOC 2, pen test report, data handling policy).</w:t>
      </w:r>
    </w:p>
    <w:p>
      <w:pPr>
        <w:pStyle w:val="ListParagraph"/>
        <w:numPr>
          <w:ilvl w:val="0"/>
          <w:numId w:val="2"/>
        </w:numPr>
      </w:pPr>
      <w:r>
        <w:rPr>
          <w:rFonts w:ascii="Arial" w:cs="Arial" w:eastAsia="Arial" w:hAnsi="Arial"/>
        </w:rPr>
        <w:t xml:space="preserve">Timeline: ~2–3 weeks to verified publisher + first admin-consent from a real customer.</w:t>
      </w:r>
    </w:p>
    <w:p>
      <w:pPr>
        <w:pStyle w:val="Heading2"/>
      </w:pPr>
      <w:r>
        <w:rPr>
          <w:rFonts w:ascii="Arial" w:cs="Arial" w:eastAsia="Arial" w:hAnsi="Arial"/>
          <w:b/>
          <w:bCs/>
        </w:rPr>
        <w:t xml:space="preserve">9.5 User-facing transparency</w:t>
      </w:r>
    </w:p>
    <w:p>
      <w:pPr>
        <w:pStyle w:val="ListParagraph"/>
        <w:numPr>
          <w:ilvl w:val="0"/>
          <w:numId w:val="2"/>
        </w:numPr>
      </w:pPr>
      <w:r>
        <w:rPr>
          <w:rFonts w:ascii="Arial" w:cs="Arial" w:eastAsia="Arial" w:hAnsi="Arial"/>
        </w:rPr>
        <w:t xml:space="preserve">Audit tab on user's profile shows every sync event + match decision, per provider.</w:t>
      </w:r>
    </w:p>
    <w:p>
      <w:pPr>
        <w:pStyle w:val="ListParagraph"/>
        <w:numPr>
          <w:ilvl w:val="0"/>
          <w:numId w:val="2"/>
        </w:numPr>
      </w:pPr>
      <w:r>
        <w:rPr>
          <w:rFonts w:ascii="Arial" w:cs="Arial" w:eastAsia="Arial" w:hAnsi="Arial"/>
        </w:rPr>
        <w:t xml:space="preserve">Timeline card shows 'Synced from Gmail/Outlook — &lt;timestamp&gt; — match: &lt;strategy&gt;'.</w:t>
      </w:r>
    </w:p>
    <w:p>
      <w:pPr>
        <w:pStyle w:val="ListParagraph"/>
        <w:numPr>
          <w:ilvl w:val="0"/>
          <w:numId w:val="2"/>
        </w:numPr>
      </w:pPr>
      <w:r>
        <w:rPr>
          <w:rFonts w:ascii="Arial" w:cs="Arial" w:eastAsia="Arial" w:hAnsi="Arial"/>
        </w:rPr>
        <w:t xml:space="preserve">Data export: ZIP of all synced emails at any time.</w:t>
      </w:r>
    </w:p>
    <w:p>
      <w:pPr>
        <w:pStyle w:val="ListParagraph"/>
        <w:numPr>
          <w:ilvl w:val="0"/>
          <w:numId w:val="2"/>
        </w:numPr>
      </w:pPr>
      <w:r>
        <w:rPr>
          <w:rFonts w:ascii="Arial" w:cs="Arial" w:eastAsia="Arial" w:hAnsi="Arial"/>
        </w:rPr>
        <w:t xml:space="preserve">Retention: synced emails persist for life of tenant + 30 days grace after cancellation, then hard delete.</w:t>
      </w:r>
    </w:p>
    <w:p>
      <w:pPr>
        <w:pStyle w:val="Heading1"/>
      </w:pPr>
      <w:r>
        <w:rPr>
          <w:rFonts w:ascii="Arial" w:cs="Arial" w:eastAsia="Arial" w:hAnsi="Arial"/>
          <w:b/>
          <w:bCs/>
        </w:rPr>
        <w:t xml:space="preserve">10. Edge cases &amp;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Scenario</w:t>
            </w:r>
          </w:p>
        </w:tc>
        <w:tc>
          <w:tcPr>
            <w:tcW w:type="dxa" w:w="6360"/>
            <w:tcBorders>
              <w:top w:val="single" w:color="BBBBBB" w:sz="4"/>
              <w:left w:val="single" w:color="BBBBBB" w:sz="4"/>
              <w:bottom w:val="single" w:color="BBBBBB" w:sz="4"/>
              <w:right w:val="single" w:color="BBBBBB" w:sz="4"/>
            </w:tcBorders>
            <w:shd w:fill="E8EEF5" w:val="clear"/>
            <w:tcMar>
              <w:top w:type="dxa" w:w="80"/>
              <w:left w:type="dxa" w:w="120"/>
              <w:bottom w:type="dxa" w:w="80"/>
              <w:right w:type="dxa" w:w="120"/>
            </w:tcMar>
          </w:tcPr>
          <w:p>
            <w:r>
              <w:rPr>
                <w:rFonts w:ascii="Arial" w:cs="Arial" w:eastAsia="Arial" w:hAnsi="Arial"/>
                <w:b/>
                <w:bCs/>
                <w:sz w:val="20"/>
                <w:szCs w:val="20"/>
              </w:rPr>
              <w:t xml:space="preserve">Behaviour</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User revokes access in Google/MS account settings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Next API call returns invalid_grant / InvalidAuthenticationToken. Mark connection disabled, banner 'Reconnect to resume sync.'</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MS customer admin revokes the Ikhaya app tenant-wide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All users in that tenant fail with AADSTS50020/65001. Global tenant banner for Ikhaya tenant admins with remediation link to /adminconsent.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MS user in a tenant that blocks user consent, no admin consent yet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Show 'Need approval from your IT admin' screen with a one-click 'Email my admin' helper (pre-filled request + deep link to /adminconsent).</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Candidate's email changes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Past links preserved; new messages to old address stop matching. Re-attribute job available.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Same email on two candidates in same tenant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Attach to both; 'Also linked to: &lt;other&gt;' chip on each timeline card.</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Message body &gt; 10MB</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Metadata + truncated snippet, skip body. 'Open in Gmail/Outlook' link.</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Push/webhook replay / out-of-order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Idempotent upsert on (user_id, provider, provider_message_id). No duplicates.</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User switches providers (Google → MS or vice versa)</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Treated as disconnect + fresh connect. Old messages retained (validly synced). New provider starts its own 90-day backfill.</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Graph webhook validation step times out</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Subscription creation fails. Retry with exponential backoff; alert oncall if 3 failures in a row for the same tenant (implies network misconfig on our side).</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Graph delta cursor expired (30-day idle)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Detect 410 Gone on delta call; fall back to full 90-day backfill; store new deltaLink.</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Focused Inbox hides candidate emails from the user but backfill still finds them</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Intentional: we bypass Focused Inbox via folder-scoped endpoint. Surface in timeline as normal; user sees 'email from candidate that Outlook hid from you'.</w:t>
            </w:r>
          </w:p>
        </w:tc>
      </w:tr>
      <w:t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Candidate requests deletion (RTBF)</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Arial" w:cs="Arial" w:eastAsia="Arial" w:hAnsi="Arial"/>
                <w:b w:val="false"/>
                <w:bCs w:val="false"/>
                <w:sz w:val="20"/>
                <w:szCs w:val="20"/>
              </w:rPr>
              <w:t xml:space="preserve">Cascade: purge candidate_email_links; purge email_messages no longer linked to any candidate; purge S3 bodies.</w:t>
            </w:r>
          </w:p>
        </w:tc>
      </w:tr>
    </w:tbl>
    <w:p>
      <w:pPr>
        <w:pStyle w:val="Heading1"/>
      </w:pPr>
      <w:r>
        <w:rPr>
          <w:rFonts w:ascii="Arial" w:cs="Arial" w:eastAsia="Arial" w:hAnsi="Arial"/>
          <w:b/>
          <w:bCs/>
        </w:rPr>
        <w:t xml:space="preserve">11. Success metrics</w:t>
      </w:r>
    </w:p>
    <w:p>
      <w:pPr>
        <w:pStyle w:val="ListParagraph"/>
        <w:numPr>
          <w:ilvl w:val="0"/>
          <w:numId w:val="2"/>
        </w:numPr>
      </w:pPr>
      <w:r>
        <w:rPr>
          <w:rFonts w:ascii="Arial" w:cs="Arial" w:eastAsia="Arial" w:hAnsi="Arial"/>
        </w:rPr>
        <w:t xml:space="preserve">Activation: % of new users who allow sync at first prompt, per provider (target: ≥ 75% each).</w:t>
      </w:r>
    </w:p>
    <w:p>
      <w:pPr>
        <w:pStyle w:val="ListParagraph"/>
        <w:numPr>
          <w:ilvl w:val="0"/>
          <w:numId w:val="2"/>
        </w:numPr>
      </w:pPr>
      <w:r>
        <w:rPr>
          <w:rFonts w:ascii="Arial" w:cs="Arial" w:eastAsia="Arial" w:hAnsi="Arial"/>
        </w:rPr>
        <w:t xml:space="preserve">Coverage: median % of candidate-involving emails that appear on the correct candidate timeline, per provider (target: ≥ 95%).</w:t>
      </w:r>
    </w:p>
    <w:p>
      <w:pPr>
        <w:pStyle w:val="ListParagraph"/>
        <w:numPr>
          <w:ilvl w:val="0"/>
          <w:numId w:val="2"/>
        </w:numPr>
      </w:pPr>
      <w:r>
        <w:rPr>
          <w:rFonts w:ascii="Arial" w:cs="Arial" w:eastAsia="Arial" w:hAnsi="Arial"/>
        </w:rPr>
        <w:t xml:space="preserve">Precision: % of auto-attached matches not later rejected (target: ≥ 99% for exact/alt/thread; ≥ 90% for confirmed fuzzy).</w:t>
      </w:r>
    </w:p>
    <w:p>
      <w:pPr>
        <w:pStyle w:val="ListParagraph"/>
        <w:numPr>
          <w:ilvl w:val="0"/>
          <w:numId w:val="2"/>
        </w:numPr>
      </w:pPr>
      <w:r>
        <w:rPr>
          <w:rFonts w:ascii="Arial" w:cs="Arial" w:eastAsia="Arial" w:hAnsi="Arial"/>
        </w:rPr>
        <w:t xml:space="preserve">Freshness: median lag from send/receive to ATS timeline visibility (target: &lt; 60s Gmail; &lt; 90s Microsoft given webhook → delta fetch round-trip).</w:t>
      </w:r>
    </w:p>
    <w:p>
      <w:pPr>
        <w:pStyle w:val="ListParagraph"/>
        <w:numPr>
          <w:ilvl w:val="0"/>
          <w:numId w:val="2"/>
        </w:numPr>
      </w:pPr>
      <w:r>
        <w:rPr>
          <w:rFonts w:ascii="Arial" w:cs="Arial" w:eastAsia="Arial" w:hAnsi="Arial"/>
        </w:rPr>
        <w:t xml:space="preserve">Admin-consent conversion: % of Microsoft tenants where admin consent is granted within 14 days of first user attempt (target: ≥ 60%).</w:t>
      </w:r>
    </w:p>
    <w:p>
      <w:pPr>
        <w:pStyle w:val="ListParagraph"/>
        <w:numPr>
          <w:ilvl w:val="0"/>
          <w:numId w:val="2"/>
        </w:numPr>
      </w:pPr>
      <w:r>
        <w:rPr>
          <w:rFonts w:ascii="Arial" w:cs="Arial" w:eastAsia="Arial" w:hAnsi="Arial"/>
        </w:rPr>
        <w:t xml:space="preserve">Retention impact: 30-day retention delta for sync-on vs sync-off users (expect +15pp).</w:t>
      </w:r>
    </w:p>
    <w:p>
      <w:pPr>
        <w:pStyle w:val="Heading1"/>
      </w:pPr>
      <w:r>
        <w:rPr>
          <w:rFonts w:ascii="Arial" w:cs="Arial" w:eastAsia="Arial" w:hAnsi="Arial"/>
          <w:b/>
          <w:bCs/>
        </w:rPr>
        <w:t xml:space="preserve">12. Rollout plan</w:t>
      </w:r>
    </w:p>
    <w:p>
      <w:pPr>
        <w:pStyle w:val="Heading2"/>
      </w:pPr>
      <w:r>
        <w:rPr>
          <w:rFonts w:ascii="Arial" w:cs="Arial" w:eastAsia="Arial" w:hAnsi="Arial"/>
          <w:b/>
          <w:bCs/>
        </w:rPr>
        <w:t xml:space="preserve">Phase 0 — Design + verification kickoff (weeks 1–2)</w:t>
      </w:r>
    </w:p>
    <w:p>
      <w:pPr>
        <w:pStyle w:val="ListParagraph"/>
        <w:numPr>
          <w:ilvl w:val="0"/>
          <w:numId w:val="2"/>
        </w:numPr>
      </w:pPr>
      <w:r>
        <w:rPr>
          <w:rFonts w:ascii="Arial" w:cs="Arial" w:eastAsia="Arial" w:hAnsi="Arial"/>
        </w:rPr>
        <w:t xml:space="preserve">Lock this spec.</w:t>
      </w:r>
    </w:p>
    <w:p>
      <w:pPr>
        <w:pStyle w:val="ListParagraph"/>
        <w:numPr>
          <w:ilvl w:val="0"/>
          <w:numId w:val="2"/>
        </w:numPr>
      </w:pPr>
      <w:r>
        <w:rPr>
          <w:rFonts w:ascii="Arial" w:cs="Arial" w:eastAsia="Arial" w:hAnsi="Arial"/>
        </w:rPr>
        <w:t xml:space="preserve">Submit Google OAuth verification + CASA Tier-2 engagement (long lead time).</w:t>
      </w:r>
    </w:p>
    <w:p>
      <w:pPr>
        <w:pStyle w:val="ListParagraph"/>
        <w:numPr>
          <w:ilvl w:val="0"/>
          <w:numId w:val="2"/>
        </w:numPr>
      </w:pPr>
      <w:r>
        <w:rPr>
          <w:rFonts w:ascii="Arial" w:cs="Arial" w:eastAsia="Arial" w:hAnsi="Arial"/>
        </w:rPr>
        <w:t xml:space="preserve">Begin Microsoft publisher verification, register multi-tenant Entra app.</w:t>
      </w:r>
    </w:p>
    <w:p>
      <w:pPr>
        <w:pStyle w:val="ListParagraph"/>
        <w:numPr>
          <w:ilvl w:val="0"/>
          <w:numId w:val="2"/>
        </w:numPr>
      </w:pPr>
      <w:r>
        <w:rPr>
          <w:rFonts w:ascii="Arial" w:cs="Arial" w:eastAsia="Arial" w:hAnsi="Arial"/>
        </w:rPr>
        <w:t xml:space="preserve">Privacy policy updates; legal review; draft enterprise security Q&amp;A packet.</w:t>
      </w:r>
    </w:p>
    <w:p>
      <w:pPr>
        <w:pStyle w:val="Heading2"/>
      </w:pPr>
      <w:r>
        <w:rPr>
          <w:rFonts w:ascii="Arial" w:cs="Arial" w:eastAsia="Arial" w:hAnsi="Arial"/>
          <w:b/>
          <w:bCs/>
        </w:rPr>
        <w:t xml:space="preserve">Phase 1 — Google core (weeks 3–5)</w:t>
      </w:r>
    </w:p>
    <w:p>
      <w:pPr>
        <w:pStyle w:val="ListParagraph"/>
        <w:numPr>
          <w:ilvl w:val="0"/>
          <w:numId w:val="2"/>
        </w:numPr>
      </w:pPr>
      <w:r>
        <w:rPr>
          <w:rFonts w:ascii="Arial" w:cs="Arial" w:eastAsia="Arial" w:hAnsi="Arial"/>
        </w:rPr>
        <w:t xml:space="preserve">Shared `EmailProvider` interface scaffolded; Gmail adapter implemented.</w:t>
      </w:r>
    </w:p>
    <w:p>
      <w:pPr>
        <w:pStyle w:val="ListParagraph"/>
        <w:numPr>
          <w:ilvl w:val="0"/>
          <w:numId w:val="2"/>
        </w:numPr>
      </w:pPr>
      <w:r>
        <w:rPr>
          <w:rFonts w:ascii="Arial" w:cs="Arial" w:eastAsia="Arial" w:hAnsi="Arial"/>
        </w:rPr>
        <w:t xml:space="preserve">OAuth + settings UI + opt-in prompt (provider-agnostic shell, Google first).</w:t>
      </w:r>
    </w:p>
    <w:p>
      <w:pPr>
        <w:pStyle w:val="ListParagraph"/>
        <w:numPr>
          <w:ilvl w:val="0"/>
          <w:numId w:val="2"/>
        </w:numPr>
      </w:pPr>
      <w:r>
        <w:rPr>
          <w:rFonts w:ascii="Arial" w:cs="Arial" w:eastAsia="Arial" w:hAnsi="Arial"/>
        </w:rPr>
        <w:t xml:space="preserve">Backfill worker; exact + alt matching.</w:t>
      </w:r>
    </w:p>
    <w:p>
      <w:pPr>
        <w:pStyle w:val="ListParagraph"/>
        <w:numPr>
          <w:ilvl w:val="0"/>
          <w:numId w:val="2"/>
        </w:numPr>
      </w:pPr>
      <w:r>
        <w:rPr>
          <w:rFonts w:ascii="Arial" w:cs="Arial" w:eastAsia="Arial" w:hAnsi="Arial"/>
        </w:rPr>
        <w:t xml:space="preserve">Schema migrations; timeline rendering.</w:t>
      </w:r>
    </w:p>
    <w:p>
      <w:pPr>
        <w:pStyle w:val="Heading2"/>
      </w:pPr>
      <w:r>
        <w:rPr>
          <w:rFonts w:ascii="Arial" w:cs="Arial" w:eastAsia="Arial" w:hAnsi="Arial"/>
          <w:b/>
          <w:bCs/>
        </w:rPr>
        <w:t xml:space="preserve">Phase 2 — Google realtime + advanced match (weeks 6–7)</w:t>
      </w:r>
    </w:p>
    <w:p>
      <w:pPr>
        <w:pStyle w:val="ListParagraph"/>
        <w:numPr>
          <w:ilvl w:val="0"/>
          <w:numId w:val="2"/>
        </w:numPr>
      </w:pPr>
      <w:r>
        <w:rPr>
          <w:rFonts w:ascii="Arial" w:cs="Arial" w:eastAsia="Arial" w:hAnsi="Arial"/>
        </w:rPr>
        <w:t xml:space="preserve">Pub/Sub push + watch refresher.</w:t>
      </w:r>
    </w:p>
    <w:p>
      <w:pPr>
        <w:pStyle w:val="ListParagraph"/>
        <w:numPr>
          <w:ilvl w:val="0"/>
          <w:numId w:val="2"/>
        </w:numPr>
      </w:pPr>
      <w:r>
        <w:rPr>
          <w:rFonts w:ascii="Arial" w:cs="Arial" w:eastAsia="Arial" w:hAnsi="Arial"/>
        </w:rPr>
        <w:t xml:space="preserve">Thread linking.</w:t>
      </w:r>
    </w:p>
    <w:p>
      <w:pPr>
        <w:pStyle w:val="ListParagraph"/>
        <w:numPr>
          <w:ilvl w:val="0"/>
          <w:numId w:val="2"/>
        </w:numPr>
      </w:pPr>
      <w:r>
        <w:rPr>
          <w:rFonts w:ascii="Arial" w:cs="Arial" w:eastAsia="Arial" w:hAnsi="Arial"/>
        </w:rPr>
        <w:t xml:space="preserve">Fuzzy match + 'Unclaimed matches' inbox.</w:t>
      </w:r>
    </w:p>
    <w:p>
      <w:pPr>
        <w:pStyle w:val="Heading2"/>
      </w:pPr>
      <w:r>
        <w:rPr>
          <w:rFonts w:ascii="Arial" w:cs="Arial" w:eastAsia="Arial" w:hAnsi="Arial"/>
          <w:b/>
          <w:bCs/>
        </w:rPr>
        <w:t xml:space="preserve">Phase 3 — Microsoft adapter (weeks 8–10)</w:t>
      </w:r>
    </w:p>
    <w:p>
      <w:pPr>
        <w:pStyle w:val="ListParagraph"/>
        <w:numPr>
          <w:ilvl w:val="0"/>
          <w:numId w:val="2"/>
        </w:numPr>
      </w:pPr>
      <w:r>
        <w:rPr>
          <w:rFonts w:ascii="Arial" w:cs="Arial" w:eastAsia="Arial" w:hAnsi="Arial"/>
        </w:rPr>
        <w:t xml:space="preserve">MSAL + Microsoft OAuth path; admin-consent flow for tenant admins.</w:t>
      </w:r>
    </w:p>
    <w:p>
      <w:pPr>
        <w:pStyle w:val="ListParagraph"/>
        <w:numPr>
          <w:ilvl w:val="0"/>
          <w:numId w:val="2"/>
        </w:numPr>
      </w:pPr>
      <w:r>
        <w:rPr>
          <w:rFonts w:ascii="Arial" w:cs="Arial" w:eastAsia="Arial" w:hAnsi="Arial"/>
        </w:rPr>
        <w:t xml:space="preserve">Graph adapter: backfill via folder-scoped messages endpoint; delta via /messages/delta.</w:t>
      </w:r>
    </w:p>
    <w:p>
      <w:pPr>
        <w:pStyle w:val="ListParagraph"/>
        <w:numPr>
          <w:ilvl w:val="0"/>
          <w:numId w:val="2"/>
        </w:numPr>
      </w:pPr>
      <w:r>
        <w:rPr>
          <w:rFonts w:ascii="Arial" w:cs="Arial" w:eastAsia="Arial" w:hAnsi="Arial"/>
        </w:rPr>
        <w:t xml:space="preserve">Graph subscription + webhook receiver (incl. validationToken handshake).</w:t>
      </w:r>
    </w:p>
    <w:p>
      <w:pPr>
        <w:pStyle w:val="ListParagraph"/>
        <w:numPr>
          <w:ilvl w:val="0"/>
          <w:numId w:val="2"/>
        </w:numPr>
      </w:pPr>
      <w:r>
        <w:rPr>
          <w:rFonts w:ascii="Arial" w:cs="Arial" w:eastAsia="Arial" w:hAnsi="Arial"/>
        </w:rPr>
        <w:t xml:space="preserve">Subscription-refresher cron (3-day TTL).</w:t>
      </w:r>
    </w:p>
    <w:p>
      <w:pPr>
        <w:pStyle w:val="ListParagraph"/>
        <w:numPr>
          <w:ilvl w:val="0"/>
          <w:numId w:val="2"/>
        </w:numPr>
      </w:pPr>
      <w:r>
        <w:rPr>
          <w:rFonts w:ascii="Arial" w:cs="Arial" w:eastAsia="Arial" w:hAnsi="Arial"/>
        </w:rPr>
        <w:t xml:space="preserve">Settings card for Microsoft connection state.</w:t>
      </w:r>
    </w:p>
    <w:p>
      <w:pPr>
        <w:pStyle w:val="Heading2"/>
      </w:pPr>
      <w:r>
        <w:rPr>
          <w:rFonts w:ascii="Arial" w:cs="Arial" w:eastAsia="Arial" w:hAnsi="Arial"/>
          <w:b/>
          <w:bCs/>
        </w:rPr>
        <w:t xml:space="preserve">Phase 4 — Admin &amp; hardening (week 11)</w:t>
      </w:r>
    </w:p>
    <w:p>
      <w:pPr>
        <w:pStyle w:val="ListParagraph"/>
        <w:numPr>
          <w:ilvl w:val="0"/>
          <w:numId w:val="2"/>
        </w:numPr>
      </w:pPr>
      <w:r>
        <w:rPr>
          <w:rFonts w:ascii="Arial" w:cs="Arial" w:eastAsia="Arial" w:hAnsi="Arial"/>
        </w:rPr>
        <w:t xml:space="preserve">Ikhaya tenant admin visibility for both providers + force-disconnect.</w:t>
      </w:r>
    </w:p>
    <w:p>
      <w:pPr>
        <w:pStyle w:val="ListParagraph"/>
        <w:numPr>
          <w:ilvl w:val="0"/>
          <w:numId w:val="2"/>
        </w:numPr>
      </w:pPr>
      <w:r>
        <w:rPr>
          <w:rFonts w:ascii="Arial" w:cs="Arial" w:eastAsia="Arial" w:hAnsi="Arial"/>
        </w:rPr>
        <w:t xml:space="preserve">MS tenant admin-consent dashboard.</w:t>
      </w:r>
    </w:p>
    <w:p>
      <w:pPr>
        <w:pStyle w:val="ListParagraph"/>
        <w:numPr>
          <w:ilvl w:val="0"/>
          <w:numId w:val="2"/>
        </w:numPr>
      </w:pPr>
      <w:r>
        <w:rPr>
          <w:rFonts w:ascii="Arial" w:cs="Arial" w:eastAsia="Arial" w:hAnsi="Arial"/>
        </w:rPr>
        <w:t xml:space="preserve">Purge + data export for both providers.</w:t>
      </w:r>
    </w:p>
    <w:p>
      <w:pPr>
        <w:pStyle w:val="ListParagraph"/>
        <w:numPr>
          <w:ilvl w:val="0"/>
          <w:numId w:val="2"/>
        </w:numPr>
      </w:pPr>
      <w:r>
        <w:rPr>
          <w:rFonts w:ascii="Arial" w:cs="Arial" w:eastAsia="Arial" w:hAnsi="Arial"/>
        </w:rPr>
        <w:t xml:space="preserve">Load test: 5k users × 30k messages across both providers; tune worker concurrency.</w:t>
      </w:r>
    </w:p>
    <w:p>
      <w:pPr>
        <w:pStyle w:val="Heading2"/>
      </w:pPr>
      <w:r>
        <w:rPr>
          <w:rFonts w:ascii="Arial" w:cs="Arial" w:eastAsia="Arial" w:hAnsi="Arial"/>
          <w:b/>
          <w:bCs/>
        </w:rPr>
        <w:t xml:space="preserve">Phase 5 — Launch gates</w:t>
      </w:r>
    </w:p>
    <w:p>
      <w:pPr>
        <w:pStyle w:val="ListParagraph"/>
        <w:numPr>
          <w:ilvl w:val="0"/>
          <w:numId w:val="2"/>
        </w:numPr>
      </w:pPr>
      <w:r>
        <w:rPr>
          <w:rFonts w:ascii="Arial" w:cs="Arial" w:eastAsia="Arial" w:hAnsi="Arial"/>
        </w:rPr>
        <w:t xml:space="preserve">Google verification approved.</w:t>
      </w:r>
    </w:p>
    <w:p>
      <w:pPr>
        <w:pStyle w:val="ListParagraph"/>
        <w:numPr>
          <w:ilvl w:val="0"/>
          <w:numId w:val="2"/>
        </w:numPr>
      </w:pPr>
      <w:r>
        <w:rPr>
          <w:rFonts w:ascii="Arial" w:cs="Arial" w:eastAsia="Arial" w:hAnsi="Arial"/>
        </w:rPr>
        <w:t xml:space="preserve">Microsoft publisher verified; Ikhaya Entra app listed.</w:t>
      </w:r>
    </w:p>
    <w:p>
      <w:pPr>
        <w:pStyle w:val="ListParagraph"/>
        <w:numPr>
          <w:ilvl w:val="0"/>
          <w:numId w:val="2"/>
        </w:numPr>
      </w:pPr>
      <w:r>
        <w:rPr>
          <w:rFonts w:ascii="Arial" w:cs="Arial" w:eastAsia="Arial" w:hAnsi="Arial"/>
        </w:rPr>
        <w:t xml:space="preserve">P95 freshness &lt; 60s (Google) / &lt; 90s (MS) at load.</w:t>
      </w:r>
    </w:p>
    <w:p>
      <w:pPr>
        <w:pStyle w:val="ListParagraph"/>
        <w:numPr>
          <w:ilvl w:val="0"/>
          <w:numId w:val="2"/>
        </w:numPr>
      </w:pPr>
      <w:r>
        <w:rPr>
          <w:rFonts w:ascii="Arial" w:cs="Arial" w:eastAsia="Arial" w:hAnsi="Arial"/>
        </w:rPr>
        <w:t xml:space="preserve">Beta cohort: 3 Google tenants + 2 MS tenants, 2 weeks, zero P0/P1 bugs.</w:t>
      </w:r>
    </w:p>
    <w:p>
      <w:pPr>
        <w:pStyle w:val="ListParagraph"/>
        <w:numPr>
          <w:ilvl w:val="0"/>
          <w:numId w:val="2"/>
        </w:numPr>
      </w:pPr>
      <w:r>
        <w:rPr>
          <w:rFonts w:ascii="Arial" w:cs="Arial" w:eastAsia="Arial" w:hAnsi="Arial"/>
        </w:rPr>
        <w:t xml:space="preserve">Runbooks: Pub/Sub outage, Graph throttling, MS tenant-wide revoke, delta-cursor expiry, mass refresh-token rotation.</w:t>
      </w:r>
    </w:p>
    <w:p>
      <w:pPr>
        <w:pStyle w:val="Heading1"/>
      </w:pPr>
      <w:r>
        <w:rPr>
          <w:rFonts w:ascii="Arial" w:cs="Arial" w:eastAsia="Arial" w:hAnsi="Arial"/>
          <w:b/>
          <w:bCs/>
        </w:rPr>
        <w:t xml:space="preserve">13. Open questions</w:t>
      </w:r>
    </w:p>
    <w:p>
      <w:pPr>
        <w:pStyle w:val="ListParagraph"/>
        <w:numPr>
          <w:ilvl w:val="0"/>
          <w:numId w:val="2"/>
        </w:numPr>
      </w:pPr>
      <w:r>
        <w:rPr>
          <w:rFonts w:ascii="Arial" w:cs="Arial" w:eastAsia="Arial" w:hAnsi="Arial"/>
        </w:rPr>
        <w:t xml:space="preserve">Shared-team mailbox support (Google group inboxes + MS shared mailboxes) — v1.1 candidate. MS is easier here; worth a scoping spike.</w:t>
      </w:r>
    </w:p>
    <w:p>
      <w:pPr>
        <w:pStyle w:val="ListParagraph"/>
        <w:numPr>
          <w:ilvl w:val="0"/>
          <w:numId w:val="2"/>
        </w:numPr>
      </w:pPr>
      <w:r>
        <w:rPr>
          <w:rFonts w:ascii="Arial" w:cs="Arial" w:eastAsia="Arial" w:hAnsi="Arial"/>
        </w:rPr>
        <w:t xml:space="preserve">Cross-provider deduplication policy when sender is on Google and recipient on Microsoft (or both are Ikhaya users on different providers). Internet_message_id dedup is straightforward; body storage dedup is more nuanced.</w:t>
      </w:r>
    </w:p>
    <w:p>
      <w:pPr>
        <w:pStyle w:val="ListParagraph"/>
        <w:numPr>
          <w:ilvl w:val="0"/>
          <w:numId w:val="2"/>
        </w:numPr>
      </w:pPr>
      <w:r>
        <w:rPr>
          <w:rFonts w:ascii="Arial" w:cs="Arial" w:eastAsia="Arial" w:hAnsi="Arial"/>
        </w:rPr>
        <w:t xml:space="preserve">Should Microsoft admin-consent flow be admin-optional (users can still consent individually) or admin-required (tenant policy switch)? Lean admin-optional with a tenant toggle.</w:t>
      </w:r>
    </w:p>
    <w:p>
      <w:pPr>
        <w:pStyle w:val="ListParagraph"/>
        <w:numPr>
          <w:ilvl w:val="0"/>
          <w:numId w:val="2"/>
        </w:numPr>
      </w:pPr>
      <w:r>
        <w:rPr>
          <w:rFonts w:ascii="Arial" w:cs="Arial" w:eastAsia="Arial" w:hAnsi="Arial"/>
        </w:rPr>
        <w:t xml:space="preserve">Fuzzy-match confirmation: update candidate primary email, or only add as alt? Lean alt only, no overwrite.</w:t>
      </w:r>
    </w:p>
    <w:p>
      <w:pPr>
        <w:pStyle w:val="ListParagraph"/>
        <w:numPr>
          <w:ilvl w:val="0"/>
          <w:numId w:val="2"/>
        </w:numPr>
      </w:pPr>
      <w:r>
        <w:rPr>
          <w:rFonts w:ascii="Arial" w:cs="Arial" w:eastAsia="Arial" w:hAnsi="Arial"/>
        </w:rPr>
        <w:t xml:space="preserve">Attachment retention: on-demand vs mirror-on-first-open with 30-day cache? Cache wins on UX, costs storage. Decide before load test.</w:t>
      </w:r>
    </w:p>
    <w:p>
      <w:pPr>
        <w:pStyle w:val="ListParagraph"/>
        <w:numPr>
          <w:ilvl w:val="0"/>
          <w:numId w:val="2"/>
        </w:numPr>
      </w:pPr>
      <w:r>
        <w:rPr>
          <w:rFonts w:ascii="Arial" w:cs="Arial" w:eastAsia="Arial" w:hAnsi="Arial"/>
        </w:rPr>
        <w:t xml:space="preserve">Consent copy for EU tenants — region-aware variant referencing GDPR Art. 6 lawful basis; identical across both providers.</w:t>
      </w:r>
    </w:p>
    <w:p>
      <w:pPr>
        <w:pStyle w:val="ListParagraph"/>
        <w:numPr>
          <w:ilvl w:val="0"/>
          <w:numId w:val="2"/>
        </w:numPr>
      </w:pPr>
      <w:r>
        <w:rPr>
          <w:rFonts w:ascii="Arial" w:cs="Arial" w:eastAsia="Arial" w:hAnsi="Arial"/>
        </w:rPr>
        <w:t xml:space="preserve">Do we sync the user's phone-replies that never touched the ATS compose UI? Yes by default (the whole point) — confirm with beta tenants.</w:t>
      </w:r>
    </w:p>
    <w:p>
      <w:pPr>
        <w:pStyle w:val="ListParagraph"/>
        <w:numPr>
          <w:ilvl w:val="0"/>
          <w:numId w:val="2"/>
        </w:numPr>
      </w:pPr>
      <w:r>
        <w:rPr>
          <w:rFonts w:ascii="Arial" w:cs="Arial" w:eastAsia="Arial" w:hAnsi="Arial"/>
        </w:rPr>
        <w:t xml:space="preserve">Do we support Microsoft GCC High / DoD tenants in v1? They use different endpoints (login.microsoftonline.us). Probably no — note for roadmap.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C528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2026-04-17T16:19:58.228Z</dcterms:created>
  <dcterms:modified xsi:type="dcterms:W3CDTF">2026-04-17T16:19:58.228Z</dcterms:modified>
</cp:coreProperties>
</file>

<file path=docProps/custom.xml><?xml version="1.0" encoding="utf-8"?>
<Properties xmlns="http://schemas.openxmlformats.org/officeDocument/2006/custom-properties" xmlns:vt="http://schemas.openxmlformats.org/officeDocument/2006/docPropsVTypes"/>
</file>