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146DC"/>
          <w:sz w:val="56"/>
          <w:szCs w:val="56"/>
        </w:rPr>
        <w:t xml:space="preserve">IKHAYA ATS</w:t>
      </w:r>
    </w:p>
    <w:p>
      <w:pPr>
        <w:spacing w:after="240" w:before="0"/>
      </w:pPr>
      <w:r>
        <w:rPr>
          <w:rFonts w:ascii="Arial" w:cs="Arial" w:eastAsia="Arial" w:hAnsi="Arial"/>
          <w:color w:val="4A4A4A"/>
          <w:sz w:val="32"/>
          <w:szCs w:val="32"/>
        </w:rPr>
        <w:t xml:space="preserve">Codebase Audit Report</w:t>
      </w:r>
    </w:p>
    <w:p>
      <w:pPr>
        <w:pBdr>
          <w:bottom w:val="single" w:color="CCCCCC" w:sz="4" w:space="1"/>
        </w:pBdr>
        <w:spacing w:after="100" w:before="100"/>
      </w:pPr>
    </w:p>
    <w:p>
      <w:pPr>
        <w:spacing w:after="120" w:before="200"/>
      </w:pPr>
      <w:r>
        <w:rPr>
          <w:rFonts w:ascii="Arial" w:cs="Arial" w:eastAsia="Arial" w:hAnsi="Arial"/>
          <w:b/>
          <w:bCs/>
          <w:color w:val="111111"/>
          <w:sz w:val="26"/>
          <w:szCs w:val="26"/>
        </w:rPr>
        <w:t xml:space="preserve">Audit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DDDDDD" w:sz="1"/>
              <w:left w:val="single" w:color="DDDDDD" w:sz="1"/>
              <w:bottom w:val="single" w:color="DDDDDD" w:sz="1"/>
              <w:right w:val="single" w:color="DDDDDD" w:sz="1"/>
            </w:tcBorders>
            <w:shd w:fill="5146DC"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400"/>
            <w:tcBorders>
              <w:top w:val="single" w:color="DDDDDD" w:sz="1"/>
              <w:left w:val="single" w:color="DDDDDD" w:sz="1"/>
              <w:bottom w:val="single" w:color="DDDDDD" w:sz="1"/>
              <w:right w:val="single" w:color="DDDDDD" w:sz="1"/>
            </w:tcBorders>
            <w:shd w:fill="5146D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360"/>
            <w:tcBorders>
              <w:top w:val="single" w:color="DDDDDD" w:sz="1"/>
              <w:left w:val="single" w:color="DDDDDD" w:sz="1"/>
              <w:bottom w:val="single" w:color="DDDDDD" w:sz="1"/>
              <w:right w:val="single" w:color="DDDDDD" w:sz="1"/>
            </w:tcBorders>
            <w:shd w:fill="5146DC"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11111"/>
                <w:sz w:val="20"/>
                <w:szCs w:val="20"/>
              </w:rPr>
              <w:t xml:space="preserve">Async Loops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35400"/>
                <w:sz w:val="18"/>
                <w:szCs w:val="18"/>
              </w:rPr>
              <w:t xml:space="preserve">⚠️ Warn</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83 useEffect hooks vs 22 useQuery; 3 floating .then() chains with no .catch(); unhandled rejection in useRecruiterRampData Promise.all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11111"/>
                <w:sz w:val="20"/>
                <w:szCs w:val="20"/>
              </w:rPr>
              <w:t xml:space="preserve">AI Accuracy</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8449"/>
                <w:sz w:val="18"/>
                <w:szCs w:val="18"/>
              </w:rPr>
              <w:t xml:space="preserve">✅ OK</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Claude client, cost-tracker, match-score, skill normalise, resume-parse — all well-structured. AiMalformedOutputError catches bad JSON. Confidence field &amp; ±15 anchor bound hallucination drift.</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11111"/>
                <w:sz w:val="20"/>
                <w:szCs w:val="20"/>
              </w:rPr>
              <w:t xml:space="preserve">DB Client Pattern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35400"/>
                <w:sz w:val="18"/>
                <w:szCs w:val="18"/>
              </w:rPr>
              <w:t xml:space="preserve">⚠️ Warn</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agency-cache is a module-level singleton — multi-tenant isolation leaks under hot-reload or concurrent serverless invocations. Needs request-scoped caching.</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11111"/>
                <w:sz w:val="20"/>
                <w:szCs w:val="20"/>
              </w:rPr>
              <w:t xml:space="preserve">Schema vs Migrations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0392B"/>
                <w:sz w:val="18"/>
                <w:szCs w:val="18"/>
              </w:rPr>
              <w:t xml:space="preserve">🔴 Fix</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001_initial_schema creates 'orgs' + 'clients'; code queries 'agencies' + 'companies'. No RENAME TABLE anywhere in 75 migrations. 'education' table queried but never defined. Migrations are out of sync with production.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11111"/>
                <w:sz w:val="20"/>
                <w:szCs w:val="20"/>
              </w:rPr>
              <w:t xml:space="preserve">OAuth — Web App</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8449"/>
                <w:sz w:val="18"/>
                <w:szCs w:val="18"/>
              </w:rPr>
              <w:t xml:space="preserve">✅ OK</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Google + Microsoft SSO wired in login page via supabase.auth.signInWithOAuth. PKCE on Google email connect (US-338). Safe redirect validation (US-329). Auth callback hardened.</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11111"/>
                <w:sz w:val="20"/>
                <w:szCs w:val="20"/>
              </w:rPr>
              <w:t xml:space="preserve">OAuth — Extension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8449"/>
                <w:sz w:val="18"/>
                <w:szCs w:val="18"/>
              </w:rPr>
              <w:t xml:space="preserve">✅ OK</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US-370/371: PKCE init → callback → validate → refresh all implemented. CORS restricted to chrome-extension://&lt;EXTENSION_ID&gt;.</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11111"/>
                <w:sz w:val="20"/>
                <w:szCs w:val="20"/>
              </w:rPr>
              <w:t xml:space="preserve">Session Management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8449"/>
                <w:sz w:val="18"/>
                <w:szCs w:val="18"/>
              </w:rPr>
              <w:t xml:space="preserve">✅ OK</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Middleware enforces 30 min idle + 8 h absolute timeouts. Extension validate endpoint checks user_sessions revocation. Fingerprint stored but not enforced (intentional).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11111"/>
                <w:sz w:val="20"/>
                <w:szCs w:val="20"/>
              </w:rPr>
              <w:t xml:space="preserve">RLS Coverage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8449"/>
                <w:sz w:val="18"/>
                <w:szCs w:val="18"/>
              </w:rPr>
              <w:t xml:space="preserve">✅ OK</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Migrations 044 + 052 audited all tables. Service-role client isolated to super-admin + cron paths. agency_id FK present on every tenant table.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11111"/>
                <w:sz w:val="20"/>
                <w:szCs w:val="20"/>
              </w:rPr>
              <w:t xml:space="preserve">Cost Guard</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8449"/>
                <w:sz w:val="18"/>
                <w:szCs w:val="18"/>
              </w:rPr>
              <w:t xml:space="preserve">✅ OK</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checkAgencyLimit() called before every LLM/embed call. AI_COST_TRACKER_FAIL_CLOSED env var for strict mode. recordUsage() fire-and-forget — never blocks response.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11111"/>
                <w:sz w:val="20"/>
                <w:szCs w:val="20"/>
              </w:rPr>
              <w:t xml:space="preserve">Cron Workers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8449"/>
                <w:sz w:val="18"/>
                <w:szCs w:val="18"/>
              </w:rPr>
              <w:t xml:space="preserve">✅ OK</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parse-resumes + embed-backfill both SKIP_LOCKED-safe, bounded batch size, retry logic with permanent-error promotion.</w:t>
            </w:r>
          </w:p>
        </w:tc>
      </w:tr>
    </w:tbl>
    <w:p>
      <w:pPr>
        <w:spacing w:before="240"/>
      </w:pPr>
    </w:p>
    <w:p>
      <w:pPr>
        <w:pBdr>
          <w:bottom w:val="single" w:color="CCCCCC" w:sz="4" w:space="1"/>
        </w:pBdr>
        <w:spacing w:after="100" w:before="100"/>
      </w:pPr>
    </w:p>
    <w:p>
      <w:pPr>
        <w:pStyle w:val="Heading1"/>
        <w:spacing w:after="120" w:before="320"/>
      </w:pPr>
      <w:r>
        <w:rPr>
          <w:rFonts w:ascii="Arial" w:cs="Arial" w:eastAsia="Arial" w:hAnsi="Arial"/>
          <w:b/>
          <w:bCs/>
          <w:color w:val="5146DC"/>
          <w:sz w:val="32"/>
          <w:szCs w:val="32"/>
        </w:rPr>
        <w:t xml:space="preserve">1. Async Loops &amp; Data-Fetch Patterns</w:t>
      </w:r>
    </w:p>
    <w:p>
      <w:pPr>
        <w:pStyle w:val="Heading2"/>
        <w:spacing w:after="80" w:before="240"/>
      </w:pPr>
      <w:r>
        <w:rPr>
          <w:rFonts w:ascii="Arial" w:cs="Arial" w:eastAsia="Arial" w:hAnsi="Arial"/>
          <w:b/>
          <w:bCs/>
          <w:color w:val="111111"/>
          <w:sz w:val="24"/>
          <w:szCs w:val="24"/>
        </w:rPr>
        <w:t xml:space="preserve">1.1  What's Good</w:t>
      </w:r>
    </w:p>
    <w:p>
      <w:pPr>
        <w:pStyle w:val="ListParagraph"/>
        <w:numPr>
          <w:ilvl w:val="0"/>
          <w:numId w:val="2"/>
        </w:numPr>
        <w:spacing w:after="40" w:before="40"/>
      </w:pPr>
      <w:r>
        <w:rPr>
          <w:rFonts w:ascii="Arial" w:cs="Arial" w:eastAsia="Arial" w:hAnsi="Arial"/>
          <w:b/>
          <w:bCs/>
          <w:color w:val="111111"/>
          <w:sz w:val="20"/>
          <w:szCs w:val="20"/>
        </w:rPr>
        <w:t xml:space="preserve">All 197 API route handlers use try/catch with typed error narrowing (AiRateLimitError, AiMalformedOutputError → proper 429/502).</w:t>
      </w:r>
    </w:p>
    <w:p>
      <w:pPr>
        <w:pStyle w:val="ListParagraph"/>
        <w:numPr>
          <w:ilvl w:val="0"/>
          <w:numId w:val="2"/>
        </w:numPr>
        <w:spacing w:after="40" w:before="40"/>
      </w:pPr>
      <w:r>
        <w:rPr>
          <w:rFonts w:ascii="Arial" w:cs="Arial" w:eastAsia="Arial" w:hAnsi="Arial"/>
          <w:b w:val="false"/>
          <w:bCs w:val="false"/>
          <w:color w:val="111111"/>
          <w:sz w:val="20"/>
          <w:szCs w:val="20"/>
        </w:rPr>
        <w:t xml:space="preserve">Cron routes (parse-resumes, embed-backfill) use SELECT ... FOR UPDATE SKIP LOCKED, bounded batch sizes (5 / 20), and retry-with-promotion logic.</w:t>
      </w:r>
    </w:p>
    <w:p>
      <w:pPr>
        <w:pStyle w:val="ListParagraph"/>
        <w:numPr>
          <w:ilvl w:val="0"/>
          <w:numId w:val="2"/>
        </w:numPr>
        <w:spacing w:after="40" w:before="40"/>
      </w:pPr>
      <w:r>
        <w:rPr>
          <w:rFonts w:ascii="Arial" w:cs="Arial" w:eastAsia="Arial" w:hAnsi="Arial"/>
          <w:b w:val="false"/>
          <w:bCs w:val="false"/>
          <w:color w:val="111111"/>
          <w:sz w:val="20"/>
          <w:szCs w:val="20"/>
        </w:rPr>
        <w:t xml:space="preserve">Promise.allSettled used in embed-backfill so a single Edge Function failure doesn't abort the batch.</w:t>
      </w:r>
    </w:p>
    <w:p>
      <w:pPr>
        <w:pStyle w:val="ListParagraph"/>
        <w:numPr>
          <w:ilvl w:val="0"/>
          <w:numId w:val="2"/>
        </w:numPr>
        <w:spacing w:after="40" w:before="40"/>
      </w:pPr>
      <w:r>
        <w:rPr>
          <w:rFonts w:ascii="Arial" w:cs="Arial" w:eastAsia="Arial" w:hAnsi="Arial"/>
          <w:b w:val="false"/>
          <w:bCs w:val="false"/>
          <w:color w:val="111111"/>
          <w:sz w:val="20"/>
          <w:szCs w:val="20"/>
        </w:rPr>
        <w:t xml:space="preserve">Fire-and-forget patterns are correctly written as void recordUsage(...) — intentional non-blocking.</w:t>
      </w:r>
    </w:p>
    <w:p>
      <w:pPr>
        <w:pStyle w:val="Heading2"/>
        <w:spacing w:after="80" w:before="240"/>
      </w:pPr>
      <w:r>
        <w:rPr>
          <w:rFonts w:ascii="Arial" w:cs="Arial" w:eastAsia="Arial" w:hAnsi="Arial"/>
          <w:b/>
          <w:bCs/>
          <w:color w:val="111111"/>
          <w:sz w:val="24"/>
          <w:szCs w:val="24"/>
        </w:rPr>
        <w:t xml:space="preserve">1.2  Issues Found</w:t>
      </w:r>
    </w:p>
    <w:p>
      <w:pPr>
        <w:spacing w:after="60" w:before="180"/>
      </w:pPr>
      <w:r>
        <w:rPr>
          <w:rFonts w:ascii="Arial" w:cs="Arial" w:eastAsia="Arial" w:hAnsi="Arial"/>
          <w:b/>
          <w:bCs/>
          <w:color w:val="4A4A4A"/>
          <w:sz w:val="22"/>
          <w:szCs w:val="22"/>
        </w:rPr>
        <w:t xml:space="preserve">Issue A — 83 useEffect hooks vs 22 useQuery</w:t>
      </w:r>
    </w:p>
    <w:p>
      <w:pPr>
        <w:spacing w:after="60" w:before="60"/>
      </w:pPr>
      <w:r>
        <w:rPr>
          <w:rFonts w:ascii="Arial" w:cs="Arial" w:eastAsia="Arial" w:hAnsi="Arial"/>
          <w:color w:val="111111"/>
          <w:sz w:val="20"/>
          <w:szCs w:val="20"/>
        </w:rPr>
        <w:t xml:space="preserve">lib/supabase/hooks.ts has 8,497 lines with 83 useEffect-based data fetchers. Only 22 have been migrated to React Query (US-303 in progress). The remaining 61 hooks have no stale-data invalidation, no built-in retry, and — critically — no error boundary if the component unmounts mid-fetch. This is the biggest latent UX reliability risk in the app.</w:t>
      </w:r>
    </w:p>
    <w:p>
      <w:pPr>
        <w:spacing w:after="60" w:before="180"/>
      </w:pPr>
      <w:r>
        <w:rPr>
          <w:rFonts w:ascii="Arial" w:cs="Arial" w:eastAsia="Arial" w:hAnsi="Arial"/>
          <w:b/>
          <w:bCs/>
          <w:color w:val="4A4A4A"/>
          <w:sz w:val="22"/>
          <w:szCs w:val="22"/>
        </w:rPr>
        <w:t xml:space="preserve">Issue B — Unhandled rejection in useRecruiterRampData (hooks.ts ~2460)</w:t>
      </w:r>
    </w:p>
    <w:p>
      <w:pPr>
        <w:spacing w:after="60" w:before="60"/>
      </w:pPr>
      <w:r>
        <w:rPr>
          <w:rFonts w:ascii="Arial" w:cs="Arial" w:eastAsia="Arial" w:hAnsi="Arial"/>
          <w:color w:val="111111"/>
          <w:sz w:val="20"/>
          <w:szCs w:val="20"/>
        </w:rPr>
        <w:t xml:space="preserve">A bare Promise.all([...]).then(...) with no .catch() at line ~2460. If either Supabase query rejects (e.g., network error), the promise silently rejects with no error state — the hook returns loading:true forever and the analytics panel hangs.</w:t>
      </w:r>
    </w:p>
    <w:p>
      <w:pPr>
        <w:spacing w:after="60" w:before="60"/>
      </w:pPr>
      <w:r>
        <w:rPr>
          <w:rFonts w:ascii="Arial" w:cs="Arial" w:eastAsia="Arial" w:hAnsi="Arial"/>
          <w:color w:val="111111"/>
          <w:sz w:val="20"/>
          <w:szCs w:val="20"/>
        </w:rPr>
        <w:t xml:space="preserve">Fix: wrap in try/catch or use Promise.allSettled, and call setLoading(false) in a finally block.</w:t>
      </w:r>
    </w:p>
    <w:p>
      <w:pPr>
        <w:spacing w:after="60" w:before="180"/>
      </w:pPr>
      <w:r>
        <w:rPr>
          <w:rFonts w:ascii="Arial" w:cs="Arial" w:eastAsia="Arial" w:hAnsi="Arial"/>
          <w:b/>
          <w:bCs/>
          <w:color w:val="4A4A4A"/>
          <w:sz w:val="22"/>
          <w:szCs w:val="22"/>
        </w:rPr>
        <w:t xml:space="preserve">Issue C — Three floating .then(() =&gt; {/* ignore */}) calls</w:t>
      </w:r>
    </w:p>
    <w:p>
      <w:pPr>
        <w:spacing w:after="60" w:before="60"/>
      </w:pPr>
      <w:r>
        <w:rPr>
          <w:rFonts w:ascii="Arial" w:cs="Arial" w:eastAsia="Arial" w:hAnsi="Arial"/>
          <w:color w:val="111111"/>
          <w:sz w:val="20"/>
          <w:szCs w:val="20"/>
        </w:rPr>
        <w:t xml:space="preserve">In /api/candidate-portal/send-link and /api/candidate-portal/[token], fire-and-forget portal event inserts use .then(() =&gt; {/* ignore */}) with no .catch(). If the insert fails the error is completely swallowed — no console.error, no metric. Upgrade to void db.from("portal_audit_events").insert(...).then(null, err =&gt; console.error("[portal]", err)).</w:t>
      </w:r>
    </w:p>
    <w:p>
      <w:pPr>
        <w:spacing w:after="60" w:before="180"/>
      </w:pPr>
      <w:r>
        <w:rPr>
          <w:rFonts w:ascii="Arial" w:cs="Arial" w:eastAsia="Arial" w:hAnsi="Arial"/>
          <w:b/>
          <w:bCs/>
          <w:color w:val="4A4A4A"/>
          <w:sz w:val="22"/>
          <w:szCs w:val="22"/>
        </w:rPr>
        <w:t xml:space="preserve">Recommended Work</w:t>
      </w:r>
    </w:p>
    <w:p>
      <w:pPr>
        <w:pStyle w:val="ListParagraph"/>
        <w:numPr>
          <w:ilvl w:val="0"/>
          <w:numId w:val="2"/>
        </w:numPr>
        <w:spacing w:after="40" w:before="40"/>
      </w:pPr>
      <w:r>
        <w:rPr>
          <w:rFonts w:ascii="Arial" w:cs="Arial" w:eastAsia="Arial" w:hAnsi="Arial"/>
          <w:b w:val="false"/>
          <w:bCs w:val="false"/>
          <w:color w:val="111111"/>
          <w:sz w:val="20"/>
          <w:szCs w:val="20"/>
        </w:rPr>
        <w:t xml:space="preserve">US-303 (in-progress): Complete React Query migration for all remaining 61 hooks. Estimate: 3–4 dev days.</w:t>
      </w:r>
    </w:p>
    <w:p>
      <w:pPr>
        <w:pStyle w:val="ListParagraph"/>
        <w:numPr>
          <w:ilvl w:val="0"/>
          <w:numId w:val="2"/>
        </w:numPr>
        <w:spacing w:after="40" w:before="40"/>
      </w:pPr>
      <w:r>
        <w:rPr>
          <w:rFonts w:ascii="Arial" w:cs="Arial" w:eastAsia="Arial" w:hAnsi="Arial"/>
          <w:b w:val="false"/>
          <w:bCs w:val="false"/>
          <w:color w:val="111111"/>
          <w:sz w:val="20"/>
          <w:szCs w:val="20"/>
        </w:rPr>
        <w:t xml:space="preserve">Bug fix (unlisted): Add .catch to the 3 floating promises. Estimate: 1 hour.</w:t>
      </w:r>
    </w:p>
    <w:p>
      <w:pPr>
        <w:pBdr>
          <w:bottom w:val="single" w:color="CCCCCC" w:sz="4" w:space="1"/>
        </w:pBdr>
        <w:spacing w:after="100" w:before="100"/>
      </w:pPr>
    </w:p>
    <w:p>
      <w:pPr>
        <w:pStyle w:val="Heading1"/>
        <w:spacing w:after="120" w:before="320"/>
      </w:pPr>
      <w:r>
        <w:rPr>
          <w:rFonts w:ascii="Arial" w:cs="Arial" w:eastAsia="Arial" w:hAnsi="Arial"/>
          <w:b/>
          <w:bCs/>
          <w:color w:val="5146DC"/>
          <w:sz w:val="32"/>
          <w:szCs w:val="32"/>
        </w:rPr>
        <w:t xml:space="preserve">2. AI Accuracy</w:t>
      </w:r>
    </w:p>
    <w:p>
      <w:pPr>
        <w:pStyle w:val="Heading2"/>
        <w:spacing w:after="80" w:before="240"/>
      </w:pPr>
      <w:r>
        <w:rPr>
          <w:rFonts w:ascii="Arial" w:cs="Arial" w:eastAsia="Arial" w:hAnsi="Arial"/>
          <w:b/>
          <w:bCs/>
          <w:color w:val="111111"/>
          <w:sz w:val="24"/>
          <w:szCs w:val="24"/>
        </w:rPr>
        <w:t xml:space="preserve">2.1  Architecture is Sound</w:t>
      </w:r>
    </w:p>
    <w:p>
      <w:pPr>
        <w:pStyle w:val="ListParagraph"/>
        <w:numPr>
          <w:ilvl w:val="0"/>
          <w:numId w:val="2"/>
        </w:numPr>
        <w:spacing w:after="40" w:before="40"/>
      </w:pPr>
      <w:r>
        <w:rPr>
          <w:rFonts w:ascii="Arial" w:cs="Arial" w:eastAsia="Arial" w:hAnsi="Arial"/>
          <w:b w:val="false"/>
          <w:bCs w:val="false"/>
          <w:color w:val="111111"/>
          <w:sz w:val="20"/>
          <w:szCs w:val="20"/>
        </w:rPr>
        <w:t xml:space="preserve">callClaude() and getAIClient() both: enforce daily cost cap before calling the API, record usage to ai_usage_events fire-and-forget, support BYO agency API keys (AES-256-GCM encrypted), and propagate AiRateLimitError cleanly.</w:t>
      </w:r>
    </w:p>
    <w:p>
      <w:pPr>
        <w:pStyle w:val="ListParagraph"/>
        <w:numPr>
          <w:ilvl w:val="0"/>
          <w:numId w:val="2"/>
        </w:numPr>
        <w:spacing w:after="40" w:before="40"/>
      </w:pPr>
      <w:r>
        <w:rPr>
          <w:rFonts w:ascii="Arial" w:cs="Arial" w:eastAsia="Arial" w:hAnsi="Arial"/>
          <w:b w:val="false"/>
          <w:bCs w:val="false"/>
          <w:color w:val="111111"/>
          <w:sz w:val="20"/>
          <w:szCs w:val="20"/>
        </w:rPr>
        <w:t xml:space="preserve">Match scoring: LLM is anchored to the embedding-based score (±15 bound), outputs a confidence field (low confidence &lt; 0.6 flagged in UI), skills capped at 8 matched/8 missing to prevent hallucination-dense lists. JSON.parse errors caught and re-thrown as AiMalformedOutputError.</w:t>
      </w:r>
    </w:p>
    <w:p>
      <w:pPr>
        <w:pStyle w:val="ListParagraph"/>
        <w:numPr>
          <w:ilvl w:val="0"/>
          <w:numId w:val="2"/>
        </w:numPr>
        <w:spacing w:after="40" w:before="40"/>
      </w:pPr>
      <w:r>
        <w:rPr>
          <w:rFonts w:ascii="Arial" w:cs="Arial" w:eastAsia="Arial" w:hAnsi="Arial"/>
          <w:b w:val="false"/>
          <w:bCs w:val="false"/>
          <w:color w:val="111111"/>
          <w:sz w:val="20"/>
          <w:szCs w:val="20"/>
        </w:rPr>
        <w:t xml:space="preserve">Resume parsing: RESUME_PARSE_SYSTEM prompt instructs conservative yearsExperience estimation. parsedResumeToUpdates() only applies non-empty fields — no destructive blanking.</w:t>
      </w:r>
    </w:p>
    <w:p>
      <w:pPr>
        <w:pStyle w:val="ListParagraph"/>
        <w:numPr>
          <w:ilvl w:val="0"/>
          <w:numId w:val="2"/>
        </w:numPr>
        <w:spacing w:after="40" w:before="40"/>
      </w:pPr>
      <w:r>
        <w:rPr>
          <w:rFonts w:ascii="Arial" w:cs="Arial" w:eastAsia="Arial" w:hAnsi="Arial"/>
          <w:b w:val="false"/>
          <w:bCs w:val="false"/>
          <w:color w:val="111111"/>
          <w:sz w:val="20"/>
          <w:szCs w:val="20"/>
        </w:rPr>
        <w:t xml:space="preserve">Skill normalisation: DB lookup (GIN-indexed aliases column) runs first; LLM is opt-in for unknown terms only. Results persisted as agency-scoped taxonomy rows so second call is a cache hit.</w:t>
      </w:r>
    </w:p>
    <w:p>
      <w:pPr>
        <w:pStyle w:val="ListParagraph"/>
        <w:numPr>
          <w:ilvl w:val="0"/>
          <w:numId w:val="2"/>
        </w:numPr>
        <w:spacing w:after="40" w:before="40"/>
      </w:pPr>
      <w:r>
        <w:rPr>
          <w:rFonts w:ascii="Arial" w:cs="Arial" w:eastAsia="Arial" w:hAnsi="Arial"/>
          <w:b w:val="false"/>
          <w:bCs w:val="false"/>
          <w:color w:val="111111"/>
          <w:sz w:val="20"/>
          <w:szCs w:val="20"/>
        </w:rPr>
        <w:t xml:space="preserve">EU AI Act logging: every user-visible decision (match scores, resume parse, outreach drafts) recorded in ai_decisions with model card URL, input hash, and visible_to_candidate flag.</w:t>
      </w:r>
    </w:p>
    <w:p>
      <w:pPr>
        <w:pStyle w:val="ListParagraph"/>
        <w:numPr>
          <w:ilvl w:val="0"/>
          <w:numId w:val="2"/>
        </w:numPr>
        <w:spacing w:after="40" w:before="40"/>
      </w:pPr>
      <w:r>
        <w:rPr>
          <w:rFonts w:ascii="Arial" w:cs="Arial" w:eastAsia="Arial" w:hAnsi="Arial"/>
          <w:b w:val="false"/>
          <w:bCs w:val="false"/>
          <w:color w:val="111111"/>
          <w:sz w:val="20"/>
          <w:szCs w:val="20"/>
        </w:rPr>
        <w:t xml:space="preserve">Decision-log describeDecision() provides consistent human-readable rationale strings — no ad-hoc phrasing per call site.</w:t>
      </w:r>
    </w:p>
    <w:p>
      <w:pPr>
        <w:pStyle w:val="Heading2"/>
        <w:spacing w:after="80" w:before="240"/>
      </w:pPr>
      <w:r>
        <w:rPr>
          <w:rFonts w:ascii="Arial" w:cs="Arial" w:eastAsia="Arial" w:hAnsi="Arial"/>
          <w:b/>
          <w:bCs/>
          <w:color w:val="111111"/>
          <w:sz w:val="24"/>
          <w:szCs w:val="24"/>
        </w:rPr>
        <w:t xml:space="preserve">2.2  Accuracy Concerns</w:t>
      </w:r>
    </w:p>
    <w:p>
      <w:pPr>
        <w:spacing w:after="60" w:before="180"/>
      </w:pPr>
      <w:r>
        <w:rPr>
          <w:rFonts w:ascii="Arial" w:cs="Arial" w:eastAsia="Arial" w:hAnsi="Arial"/>
          <w:b/>
          <w:bCs/>
          <w:color w:val="4A4A4A"/>
          <w:sz w:val="22"/>
          <w:szCs w:val="22"/>
        </w:rPr>
        <w:t xml:space="preserve">Concern A — Embedding fallback silently changes search quality</w:t>
      </w:r>
    </w:p>
    <w:p>
      <w:pPr>
        <w:spacing w:after="60" w:before="60"/>
      </w:pPr>
      <w:r>
        <w:rPr>
          <w:rFonts w:ascii="Arial" w:cs="Arial" w:eastAsia="Arial" w:hAnsi="Arial"/>
          <w:color w:val="111111"/>
          <w:sz w:val="20"/>
          <w:szCs w:val="20"/>
        </w:rPr>
        <w:t xml:space="preserve">lib/embeddings.ts falls back from OpenAI text-embedding-3-small to a deterministic keyword-hash vector when OPENAI_API_KEY is absent. The fallback is not flagged to the user. In production, a missing/expired API key degrades all semantic search to token-frequency matching — jobs that should surface as 70%+ matches may not appear at all. Recommendation: add a Supabase Edge Function health check on deploy and alert if the fallback activates in production.</w:t>
      </w:r>
    </w:p>
    <w:p>
      <w:pPr>
        <w:spacing w:after="60" w:before="180"/>
      </w:pPr>
      <w:r>
        <w:rPr>
          <w:rFonts w:ascii="Arial" w:cs="Arial" w:eastAsia="Arial" w:hAnsi="Arial"/>
          <w:b/>
          <w:bCs/>
          <w:color w:val="4A4A4A"/>
          <w:sz w:val="22"/>
          <w:szCs w:val="22"/>
        </w:rPr>
        <w:t xml:space="preserve">Concern B — generatedBy is hardcoded, not from response</w:t>
      </w:r>
    </w:p>
    <w:p>
      <w:pPr>
        <w:spacing w:after="60" w:before="60"/>
      </w:pPr>
      <w:r>
        <w:rPr>
          <w:rFonts w:ascii="Arial" w:cs="Arial" w:eastAsia="Arial" w:hAnsi="Arial"/>
          <w:color w:val="111111"/>
          <w:sz w:val="20"/>
          <w:szCs w:val="20"/>
        </w:rPr>
        <w:t xml:space="preserve">In lib/ai/match-score.ts line 175, generatedBy is hard-coded to "claude-sonnet-4-6" rather than reading it from the actual response. If an agency's BYO key routes to a different model, the stored generatedBy will be wrong — breaking the model card link in the transparency UI.</w:t>
      </w:r>
    </w:p>
    <w:p>
      <w:pPr>
        <w:spacing w:after="60" w:before="60"/>
      </w:pPr>
      <w:r>
        <w:rPr>
          <w:rFonts w:ascii="Arial" w:cs="Arial" w:eastAsia="Arial" w:hAnsi="Arial"/>
          <w:color w:val="111111"/>
          <w:sz w:val="20"/>
          <w:szCs w:val="20"/>
        </w:rPr>
        <w:t xml:space="preserve">Fix: pass params.model from getAIClient back through the response and store it as the actual model used.</w:t>
      </w:r>
    </w:p>
    <w:p>
      <w:pPr>
        <w:spacing w:after="60" w:before="180"/>
      </w:pPr>
      <w:r>
        <w:rPr>
          <w:rFonts w:ascii="Arial" w:cs="Arial" w:eastAsia="Arial" w:hAnsi="Arial"/>
          <w:b/>
          <w:bCs/>
          <w:color w:val="4A4A4A"/>
          <w:sz w:val="22"/>
          <w:szCs w:val="22"/>
        </w:rPr>
        <w:t xml:space="preserve">Concern C — No token budget guard on large JDs</w:t>
      </w:r>
    </w:p>
    <w:p>
      <w:pPr>
        <w:spacing w:after="60" w:before="60"/>
      </w:pPr>
      <w:r>
        <w:rPr>
          <w:rFonts w:ascii="Arial" w:cs="Arial" w:eastAsia="Arial" w:hAnsi="Arial"/>
          <w:color w:val="111111"/>
          <w:sz w:val="20"/>
          <w:szCs w:val="20"/>
        </w:rPr>
        <w:t xml:space="preserve">The match-score prompt truncates candidate summary at 600 chars and job description at 800 chars, but requirements is truncated at 600 chars. If a recruiter uploads a 10-page JD, the description field could be &gt;800 chars and the truncation cuts mid-sentence. Consider increasing DEFAULT_MAX_TOKENS from 800 to 1200 for match_score_explain and documenting the token budget.</w:t>
      </w:r>
    </w:p>
    <w:p>
      <w:pPr>
        <w:pBdr>
          <w:bottom w:val="single" w:color="CCCCCC" w:sz="4" w:space="1"/>
        </w:pBdr>
        <w:spacing w:after="100" w:before="100"/>
      </w:pPr>
    </w:p>
    <w:p>
      <w:pPr>
        <w:pStyle w:val="Heading1"/>
        <w:spacing w:after="120" w:before="320"/>
      </w:pPr>
      <w:r>
        <w:rPr>
          <w:rFonts w:ascii="Arial" w:cs="Arial" w:eastAsia="Arial" w:hAnsi="Arial"/>
          <w:b/>
          <w:bCs/>
          <w:color w:val="5146DC"/>
          <w:sz w:val="32"/>
          <w:szCs w:val="32"/>
        </w:rPr>
        <w:t xml:space="preserve">3. Database Connection Hardening</w:t>
      </w:r>
    </w:p>
    <w:p>
      <w:pPr>
        <w:pStyle w:val="Heading2"/>
        <w:spacing w:after="80" w:before="240"/>
      </w:pPr>
      <w:r>
        <w:rPr>
          <w:rFonts w:ascii="Arial" w:cs="Arial" w:eastAsia="Arial" w:hAnsi="Arial"/>
          <w:b/>
          <w:bCs/>
          <w:color w:val="111111"/>
          <w:sz w:val="24"/>
          <w:szCs w:val="24"/>
        </w:rPr>
        <w:t xml:space="preserve">3.1  Client Pattern is Correct</w:t>
      </w:r>
    </w:p>
    <w:p>
      <w:pPr>
        <w:pStyle w:val="ListParagraph"/>
        <w:numPr>
          <w:ilvl w:val="0"/>
          <w:numId w:val="2"/>
        </w:numPr>
        <w:spacing w:after="40" w:before="40"/>
      </w:pPr>
      <w:r>
        <w:rPr>
          <w:rFonts w:ascii="Arial" w:cs="Arial" w:eastAsia="Arial" w:hAnsi="Arial"/>
          <w:b w:val="false"/>
          <w:bCs w:val="false"/>
          <w:color w:val="111111"/>
          <w:sz w:val="20"/>
          <w:szCs w:val="20"/>
        </w:rPr>
        <w:t xml:space="preserve">lib/supabase/client.ts → createBrowserClient() — correct for Client Components.</w:t>
      </w:r>
    </w:p>
    <w:p>
      <w:pPr>
        <w:pStyle w:val="ListParagraph"/>
        <w:numPr>
          <w:ilvl w:val="0"/>
          <w:numId w:val="2"/>
        </w:numPr>
        <w:spacing w:after="40" w:before="40"/>
      </w:pPr>
      <w:r>
        <w:rPr>
          <w:rFonts w:ascii="Arial" w:cs="Arial" w:eastAsia="Arial" w:hAnsi="Arial"/>
          <w:b w:val="false"/>
          <w:bCs w:val="false"/>
          <w:color w:val="111111"/>
          <w:sz w:val="20"/>
          <w:szCs w:val="20"/>
        </w:rPr>
        <w:t xml:space="preserve">lib/supabase/server.ts → createServerClient() with full cookie get/set — correct for Server Components, Route Handlers, and Server Actions.</w:t>
      </w:r>
    </w:p>
    <w:p>
      <w:pPr>
        <w:pStyle w:val="ListParagraph"/>
        <w:numPr>
          <w:ilvl w:val="0"/>
          <w:numId w:val="2"/>
        </w:numPr>
        <w:spacing w:after="40" w:before="40"/>
      </w:pPr>
      <w:r>
        <w:rPr>
          <w:rFonts w:ascii="Arial" w:cs="Arial" w:eastAsia="Arial" w:hAnsi="Arial"/>
          <w:b w:val="false"/>
          <w:bCs w:val="false"/>
          <w:color w:val="111111"/>
          <w:sz w:val="20"/>
          <w:szCs w:val="20"/>
        </w:rPr>
        <w:t xml:space="preserve">lib/supabase/service.ts → createClient(url, serviceRoleKey, { auth: { persistSession: false } }) — correct for cron/super-admin. Never imported in browser code.</w:t>
      </w:r>
    </w:p>
    <w:p>
      <w:pPr>
        <w:pStyle w:val="ListParagraph"/>
        <w:numPr>
          <w:ilvl w:val="0"/>
          <w:numId w:val="2"/>
        </w:numPr>
        <w:spacing w:after="40" w:before="40"/>
      </w:pPr>
      <w:r>
        <w:rPr>
          <w:rFonts w:ascii="Arial" w:cs="Arial" w:eastAsia="Arial" w:hAnsi="Arial"/>
          <w:b w:val="false"/>
          <w:bCs w:val="false"/>
          <w:color w:val="111111"/>
          <w:sz w:val="20"/>
          <w:szCs w:val="20"/>
        </w:rPr>
        <w:t xml:space="preserve">lib/supabase/agency-cache.ts provides userId+agencyId memoisation; reduces repeated auth.getUser() calls from O(n) to O(1) per session.</w:t>
      </w:r>
    </w:p>
    <w:p>
      <w:pPr>
        <w:pStyle w:val="Heading2"/>
        <w:spacing w:after="80" w:before="240"/>
      </w:pPr>
      <w:r>
        <w:rPr>
          <w:rFonts w:ascii="Arial" w:cs="Arial" w:eastAsia="Arial" w:hAnsi="Arial"/>
          <w:b/>
          <w:bCs/>
          <w:color w:val="111111"/>
          <w:sz w:val="24"/>
          <w:szCs w:val="24"/>
        </w:rPr>
        <w:t xml:space="preserve">3.2  Issues</w:t>
      </w:r>
    </w:p>
    <w:p>
      <w:pPr>
        <w:spacing w:after="60" w:before="180"/>
      </w:pPr>
      <w:r>
        <w:rPr>
          <w:rFonts w:ascii="Arial" w:cs="Arial" w:eastAsia="Arial" w:hAnsi="Arial"/>
          <w:b/>
          <w:bCs/>
          <w:color w:val="4A4A4A"/>
          <w:sz w:val="22"/>
          <w:szCs w:val="22"/>
        </w:rPr>
        <w:t xml:space="preserve">Issue A — Module-level singleton in agency-cache</w:t>
      </w:r>
    </w:p>
    <w:p>
      <w:pPr>
        <w:spacing w:after="60" w:before="60"/>
      </w:pPr>
      <w:r>
        <w:rPr>
          <w:rFonts w:ascii="Arial" w:cs="Arial" w:eastAsia="Arial" w:hAnsi="Arial"/>
          <w:color w:val="111111"/>
          <w:sz w:val="20"/>
          <w:szCs w:val="20"/>
        </w:rPr>
        <w:t xml:space="preserve">agency-cache.ts stores _userId, _agencyId, _role as module-level variables. In Next.js Route Handlers these variables are shared across concurrent requests in the same Node.js process (hot-module or long-lived serverless). If user A's request populates the cache and user B's request hits the fast-path before the auth.getUser() check, user B could receive user A's agencyId for one request.</w:t>
      </w:r>
    </w:p>
    <w:p>
      <w:pPr>
        <w:spacing w:after="60" w:before="60"/>
      </w:pPr>
      <w:r>
        <w:rPr>
          <w:rFonts w:ascii="Arial" w:cs="Arial" w:eastAsia="Arial" w:hAnsi="Arial"/>
          <w:color w:val="111111"/>
          <w:sz w:val="20"/>
          <w:szCs w:val="20"/>
        </w:rPr>
        <w:t xml:space="preserve">This is mitigated because the cache is keyed on userId and every cache hit still requires a matching userId — the fast-path only fires when _userId === userIdHint. However, under extremely high concurrent load the check window between reading _userId and returning the cached agencyId is not atomic.</w:t>
      </w:r>
    </w:p>
    <w:p>
      <w:pPr>
        <w:spacing w:after="60" w:before="60"/>
      </w:pPr>
      <w:r>
        <w:rPr>
          <w:rFonts w:ascii="Arial" w:cs="Arial" w:eastAsia="Arial" w:hAnsi="Arial"/>
          <w:color w:val="111111"/>
          <w:sz w:val="20"/>
          <w:szCs w:val="20"/>
        </w:rPr>
        <w:t xml:space="preserve">Fix: move cache to a request-scoped Map (e.g., using Next.js unstable_cache or AsyncLocalStorage), or simply accept the race as acceptable given the userId guard and document it.</w:t>
      </w:r>
    </w:p>
    <w:p>
      <w:pPr>
        <w:spacing w:after="60" w:before="180"/>
      </w:pPr>
      <w:r>
        <w:rPr>
          <w:rFonts w:ascii="Arial" w:cs="Arial" w:eastAsia="Arial" w:hAnsi="Arial"/>
          <w:b/>
          <w:bCs/>
          <w:color w:val="4A4A4A"/>
          <w:sz w:val="22"/>
          <w:szCs w:val="22"/>
        </w:rPr>
        <w:t xml:space="preserve">Issue B — createServiceClient() instantiated on every call</w:t>
      </w:r>
    </w:p>
    <w:p>
      <w:pPr>
        <w:spacing w:after="60" w:before="60"/>
      </w:pPr>
      <w:r>
        <w:rPr>
          <w:rFonts w:ascii="Arial" w:cs="Arial" w:eastAsia="Arial" w:hAnsi="Arial"/>
          <w:color w:val="111111"/>
          <w:sz w:val="20"/>
          <w:szCs w:val="20"/>
        </w:rPr>
        <w:t xml:space="preserve">lib/supabase/service.ts creates a new Supabase client instance on every call to createServiceClient(). In the cost tracker, recordUsage() (fire-and-forget) and checkAgencyLimit() both call it. Under high load this creates many transient connections. Supabase's JS client manages a connection pool internally, but repeated instantiation adds overhead. Fix: memoize createServiceClient() at module level (safe because the service key doesn't change at runtime).</w:t>
      </w:r>
    </w:p>
    <w:p>
      <w:pPr>
        <w:spacing w:after="60" w:before="180"/>
      </w:pPr>
      <w:r>
        <w:rPr>
          <w:rFonts w:ascii="Arial" w:cs="Arial" w:eastAsia="Arial" w:hAnsi="Arial"/>
          <w:b/>
          <w:bCs/>
          <w:color w:val="4A4A4A"/>
          <w:sz w:val="22"/>
          <w:szCs w:val="22"/>
        </w:rPr>
        <w:t xml:space="preserve">Issue C — auth.ts getAgencyId() fallback returns user.id</w:t>
      </w:r>
    </w:p>
    <w:p>
      <w:pPr>
        <w:spacing w:after="60" w:before="60"/>
      </w:pPr>
      <w:r>
        <w:rPr>
          <w:rFonts w:ascii="Arial" w:cs="Arial" w:eastAsia="Arial" w:hAnsi="Arial"/>
          <w:color w:val="111111"/>
          <w:sz w:val="20"/>
          <w:szCs w:val="20"/>
        </w:rPr>
        <w:t xml:space="preserve">lib/auth.ts getAgencyId() returns user?.id ?? "unknown" — using the auth user's UUID as the agency ID. This is a leftover from early development that will silently misbehave any time getAgencyId() is called for an authenticated user who hasn't yet been inserted into the users table (e.g., during the onboarding flow before the agency row exists). All API routes should use getAgencyContext() from agency-cache instead of this function.</w:t>
      </w:r>
    </w:p>
    <w:p>
      <w:pPr>
        <w:pBdr>
          <w:bottom w:val="single" w:color="CCCCCC" w:sz="4" w:space="1"/>
        </w:pBdr>
        <w:spacing w:after="100" w:before="100"/>
      </w:pPr>
    </w:p>
    <w:p>
      <w:pPr>
        <w:pStyle w:val="Heading1"/>
        <w:spacing w:after="120" w:before="320"/>
      </w:pPr>
      <w:r>
        <w:rPr>
          <w:rFonts w:ascii="Arial" w:cs="Arial" w:eastAsia="Arial" w:hAnsi="Arial"/>
          <w:b/>
          <w:bCs/>
          <w:color w:val="5146DC"/>
          <w:sz w:val="32"/>
          <w:szCs w:val="32"/>
        </w:rPr>
        <w:t xml:space="preserve">4. Schema Accuracy</w:t>
      </w:r>
    </w:p>
    <w:p>
      <w:pPr>
        <w:pStyle w:val="Heading2"/>
        <w:spacing w:after="80" w:before="240"/>
      </w:pPr>
      <w:r>
        <w:rPr>
          <w:rFonts w:ascii="Arial" w:cs="Arial" w:eastAsia="Arial" w:hAnsi="Arial"/>
          <w:b/>
          <w:bCs/>
          <w:color w:val="111111"/>
          <w:sz w:val="24"/>
          <w:szCs w:val="24"/>
        </w:rPr>
        <w:t xml:space="preserve">4.1  Migration File Count</w:t>
      </w:r>
    </w:p>
    <w:p>
      <w:pPr>
        <w:spacing w:after="60" w:before="60"/>
      </w:pPr>
      <w:r>
        <w:rPr>
          <w:rFonts w:ascii="Arial" w:cs="Arial" w:eastAsia="Arial" w:hAnsi="Arial"/>
          <w:color w:val="111111"/>
          <w:sz w:val="20"/>
          <w:szCs w:val="20"/>
        </w:rPr>
        <w:t xml:space="preserve">75 migration files present: 001_initial_schema through 075_super_admin_panels_and_experiments. All executed successfully per backlog state — no gaps in numbering.</w:t>
      </w:r>
    </w:p>
    <w:p>
      <w:pPr>
        <w:pStyle w:val="Heading2"/>
        <w:spacing w:after="80" w:before="240"/>
      </w:pPr>
      <w:r>
        <w:rPr>
          <w:rFonts w:ascii="Arial" w:cs="Arial" w:eastAsia="Arial" w:hAnsi="Arial"/>
          <w:b/>
          <w:bCs/>
          <w:color w:val="111111"/>
          <w:sz w:val="24"/>
          <w:szCs w:val="24"/>
        </w:rPr>
        <w:t xml:space="preserve">4.2  Critical Schema Drift</w:t>
      </w:r>
    </w:p>
    <w:p>
      <w:pPr>
        <w:spacing w:after="60" w:before="180"/>
      </w:pPr>
      <w:r>
        <w:rPr>
          <w:rFonts w:ascii="Arial" w:cs="Arial" w:eastAsia="Arial" w:hAnsi="Arial"/>
          <w:b/>
          <w:bCs/>
          <w:color w:val="4A4A4A"/>
          <w:sz w:val="22"/>
          <w:szCs w:val="22"/>
        </w:rPr>
        <w:t xml:space="preserve">Issue A — orgs → agencies rename never migrated</w:t>
      </w:r>
    </w:p>
    <w:p>
      <w:pPr>
        <w:spacing w:after="60" w:before="60"/>
      </w:pPr>
      <w:r>
        <w:rPr>
          <w:rFonts w:ascii="Arial" w:cs="Arial" w:eastAsia="Arial" w:hAnsi="Arial"/>
          <w:color w:val="111111"/>
          <w:sz w:val="20"/>
          <w:szCs w:val="20"/>
        </w:rPr>
        <w:t xml:space="preserve">Migration 001 creates table orgs. Every migration from 003 onward references agencies. There is no ALTER TABLE orgs RENAME TO agencies anywhere in migrations 001–075. This means:</w:t>
      </w:r>
    </w:p>
    <w:p>
      <w:pPr>
        <w:pStyle w:val="ListParagraph"/>
        <w:numPr>
          <w:ilvl w:val="0"/>
          <w:numId w:val="2"/>
        </w:numPr>
        <w:spacing w:after="40" w:before="40"/>
      </w:pPr>
      <w:r>
        <w:rPr>
          <w:rFonts w:ascii="Arial" w:cs="Arial" w:eastAsia="Arial" w:hAnsi="Arial"/>
          <w:b w:val="false"/>
          <w:bCs w:val="false"/>
          <w:color w:val="111111"/>
          <w:sz w:val="20"/>
          <w:szCs w:val="20"/>
        </w:rPr>
        <w:t xml:space="preserve">The production database either has an orgs table (if migrations were applied against a fresh Supabase instance) OR an agencies table (if the rename happened directly in the Supabase dashboard).</w:t>
      </w:r>
    </w:p>
    <w:p>
      <w:pPr>
        <w:pStyle w:val="ListParagraph"/>
        <w:numPr>
          <w:ilvl w:val="0"/>
          <w:numId w:val="2"/>
        </w:numPr>
        <w:spacing w:after="40" w:before="40"/>
      </w:pPr>
      <w:r>
        <w:rPr>
          <w:rFonts w:ascii="Arial" w:cs="Arial" w:eastAsia="Arial" w:hAnsi="Arial"/>
          <w:b w:val="false"/>
          <w:bCs w:val="false"/>
          <w:color w:val="111111"/>
          <w:sz w:val="20"/>
          <w:szCs w:val="20"/>
        </w:rPr>
        <w:t xml:space="preserve">The migration files do NOT accurately represent the live schema. This is a runbook risk — a fresh database restore from migrations would produce orgs, not agencies, and the app would 500 on every authenticated request.</w:t>
      </w:r>
    </w:p>
    <w:p>
      <w:pPr>
        <w:spacing w:after="60" w:before="60"/>
      </w:pPr>
      <w:r>
        <w:rPr>
          <w:rFonts w:ascii="Arial" w:cs="Arial" w:eastAsia="Arial" w:hAnsi="Arial"/>
          <w:color w:val="111111"/>
          <w:sz w:val="20"/>
          <w:szCs w:val="20"/>
        </w:rPr>
        <w:t xml:space="preserve">Required: add migration 076_rename_orgs_to_agencies.sql with ALTER TABLE orgs RENAME TO agencies; and corresponding index/trigger renames. Verify against production schema first.</w:t>
      </w:r>
    </w:p>
    <w:p>
      <w:pPr>
        <w:spacing w:after="60" w:before="180"/>
      </w:pPr>
      <w:r>
        <w:rPr>
          <w:rFonts w:ascii="Arial" w:cs="Arial" w:eastAsia="Arial" w:hAnsi="Arial"/>
          <w:b/>
          <w:bCs/>
          <w:color w:val="4A4A4A"/>
          <w:sz w:val="22"/>
          <w:szCs w:val="22"/>
        </w:rPr>
        <w:t xml:space="preserve">Issue B — clients → companies rename never migrated</w:t>
      </w:r>
    </w:p>
    <w:p>
      <w:pPr>
        <w:spacing w:after="60" w:before="60"/>
      </w:pPr>
      <w:r>
        <w:rPr>
          <w:rFonts w:ascii="Arial" w:cs="Arial" w:eastAsia="Arial" w:hAnsi="Arial"/>
          <w:color w:val="111111"/>
          <w:sz w:val="20"/>
          <w:szCs w:val="20"/>
        </w:rPr>
        <w:t xml:space="preserve">Same pattern. Migration 001 creates clients. Code queries companies. Migration 044 adds RLS policies for companies directly, assuming the rename already happened. No RENAME in migration files.</w:t>
      </w:r>
    </w:p>
    <w:p>
      <w:pPr>
        <w:spacing w:after="60" w:before="60"/>
      </w:pPr>
      <w:r>
        <w:rPr>
          <w:rFonts w:ascii="Arial" w:cs="Arial" w:eastAsia="Arial" w:hAnsi="Arial"/>
          <w:color w:val="111111"/>
          <w:sz w:val="20"/>
          <w:szCs w:val="20"/>
        </w:rPr>
        <w:t xml:space="preserve">Required: add to migration 076 or a separate 077: ALTER TABLE clients RENAME TO companies;</w:t>
      </w:r>
    </w:p>
    <w:p>
      <w:pPr>
        <w:spacing w:after="60" w:before="180"/>
      </w:pPr>
      <w:r>
        <w:rPr>
          <w:rFonts w:ascii="Arial" w:cs="Arial" w:eastAsia="Arial" w:hAnsi="Arial"/>
          <w:b/>
          <w:bCs/>
          <w:color w:val="4A4A4A"/>
          <w:sz w:val="22"/>
          <w:szCs w:val="22"/>
        </w:rPr>
        <w:t xml:space="preserve">Issue C — education table queried but never defined</w:t>
      </w:r>
    </w:p>
    <w:p>
      <w:pPr>
        <w:spacing w:after="60" w:before="60"/>
      </w:pPr>
      <w:r>
        <w:rPr>
          <w:rFonts w:ascii="Arial" w:cs="Arial" w:eastAsia="Arial" w:hAnsi="Arial"/>
          <w:color w:val="111111"/>
          <w:sz w:val="20"/>
          <w:szCs w:val="20"/>
        </w:rPr>
        <w:t xml:space="preserve">lib/supabase/hooks.ts queries .from("education") at three call sites (lines ~1124, ~1153, ~1178). No migration creates this table. Either it was created directly in Supabase's dashboard or it was never created and these hooks silently return empty arrays (Supabase returns [] for queries on non-existent tables under RLS, so the UI just shows nothing).</w:t>
      </w:r>
    </w:p>
    <w:p>
      <w:pPr>
        <w:spacing w:after="60" w:before="60"/>
      </w:pPr>
      <w:r>
        <w:rPr>
          <w:rFonts w:ascii="Arial" w:cs="Arial" w:eastAsia="Arial" w:hAnsi="Arial"/>
          <w:color w:val="111111"/>
          <w:sz w:val="20"/>
          <w:szCs w:val="20"/>
        </w:rPr>
        <w:t xml:space="preserve">Required: verify table exists in production. If yes, write a migration to document its schema. If no, remove the hooks or replace with work_history.</w:t>
      </w:r>
    </w:p>
    <w:p>
      <w:pPr>
        <w:pStyle w:val="Heading2"/>
        <w:spacing w:after="80" w:before="240"/>
      </w:pPr>
      <w:r>
        <w:rPr>
          <w:rFonts w:ascii="Arial" w:cs="Arial" w:eastAsia="Arial" w:hAnsi="Arial"/>
          <w:b/>
          <w:bCs/>
          <w:color w:val="111111"/>
          <w:sz w:val="24"/>
          <w:szCs w:val="24"/>
        </w:rPr>
        <w:t xml:space="preserve">4.3  Schema Strengths</w:t>
      </w:r>
    </w:p>
    <w:p>
      <w:pPr>
        <w:pStyle w:val="ListParagraph"/>
        <w:numPr>
          <w:ilvl w:val="0"/>
          <w:numId w:val="2"/>
        </w:numPr>
        <w:spacing w:after="40" w:before="40"/>
      </w:pPr>
      <w:r>
        <w:rPr>
          <w:rFonts w:ascii="Arial" w:cs="Arial" w:eastAsia="Arial" w:hAnsi="Arial"/>
          <w:b w:val="false"/>
          <w:bCs w:val="false"/>
          <w:color w:val="111111"/>
          <w:sz w:val="20"/>
          <w:szCs w:val="20"/>
        </w:rPr>
        <w:t xml:space="preserve">All 75 migrations use CREATE TABLE IF NOT EXISTS and ALTER TABLE ... ADD COLUMN IF NOT EXISTS — fully idempotent.</w:t>
      </w:r>
    </w:p>
    <w:p>
      <w:pPr>
        <w:pStyle w:val="ListParagraph"/>
        <w:numPr>
          <w:ilvl w:val="0"/>
          <w:numId w:val="2"/>
        </w:numPr>
        <w:spacing w:after="40" w:before="40"/>
      </w:pPr>
      <w:r>
        <w:rPr>
          <w:rFonts w:ascii="Arial" w:cs="Arial" w:eastAsia="Arial" w:hAnsi="Arial"/>
          <w:b w:val="false"/>
          <w:bCs w:val="false"/>
          <w:color w:val="111111"/>
          <w:sz w:val="20"/>
          <w:szCs w:val="20"/>
        </w:rPr>
        <w:t xml:space="preserve">pgvector HNSW indexes on candidates, jobs, companies (migration 002) — appropriate for real-time inserts.</w:t>
      </w:r>
    </w:p>
    <w:p>
      <w:pPr>
        <w:pStyle w:val="ListParagraph"/>
        <w:numPr>
          <w:ilvl w:val="0"/>
          <w:numId w:val="2"/>
        </w:numPr>
        <w:spacing w:after="40" w:before="40"/>
      </w:pPr>
      <w:r>
        <w:rPr>
          <w:rFonts w:ascii="Arial" w:cs="Arial" w:eastAsia="Arial" w:hAnsi="Arial"/>
          <w:b w:val="false"/>
          <w:bCs w:val="false"/>
          <w:color w:val="111111"/>
          <w:sz w:val="20"/>
          <w:szCs w:val="20"/>
        </w:rPr>
        <w:t xml:space="preserve">ai_usage_daily is maintained by a DB trigger in migration 049 — rollup is always consistent.</w:t>
      </w:r>
    </w:p>
    <w:p>
      <w:pPr>
        <w:pStyle w:val="ListParagraph"/>
        <w:numPr>
          <w:ilvl w:val="0"/>
          <w:numId w:val="2"/>
        </w:numPr>
        <w:spacing w:after="40" w:before="40"/>
      </w:pPr>
      <w:r>
        <w:rPr>
          <w:rFonts w:ascii="Arial" w:cs="Arial" w:eastAsia="Arial" w:hAnsi="Arial"/>
          <w:b w:val="false"/>
          <w:bCs w:val="false"/>
          <w:color w:val="111111"/>
          <w:sz w:val="20"/>
          <w:szCs w:val="20"/>
        </w:rPr>
        <w:t xml:space="preserve">SKIP LOCKED pattern on claim_next_resume_parse_job() ensures cron workers don't double-process.</w:t>
      </w:r>
    </w:p>
    <w:p>
      <w:pPr>
        <w:pStyle w:val="ListParagraph"/>
        <w:numPr>
          <w:ilvl w:val="0"/>
          <w:numId w:val="2"/>
        </w:numPr>
        <w:spacing w:after="40" w:before="40"/>
      </w:pPr>
      <w:r>
        <w:rPr>
          <w:rFonts w:ascii="Arial" w:cs="Arial" w:eastAsia="Arial" w:hAnsi="Arial"/>
          <w:b w:val="false"/>
          <w:bCs w:val="false"/>
          <w:color w:val="111111"/>
          <w:sz w:val="20"/>
          <w:szCs w:val="20"/>
        </w:rPr>
        <w:t xml:space="preserve">Unique constraint on experiment_assignments (experiment_id, agency_id, user_id) prevents split-assignment noise.</w:t>
      </w:r>
    </w:p>
    <w:p>
      <w:pPr>
        <w:pBdr>
          <w:bottom w:val="single" w:color="CCCCCC" w:sz="4" w:space="1"/>
        </w:pBdr>
        <w:spacing w:after="100" w:before="100"/>
      </w:pPr>
    </w:p>
    <w:p>
      <w:pPr>
        <w:pStyle w:val="Heading1"/>
        <w:spacing w:after="120" w:before="320"/>
      </w:pPr>
      <w:r>
        <w:rPr>
          <w:rFonts w:ascii="Arial" w:cs="Arial" w:eastAsia="Arial" w:hAnsi="Arial"/>
          <w:b/>
          <w:bCs/>
          <w:color w:val="5146DC"/>
          <w:sz w:val="32"/>
          <w:szCs w:val="32"/>
        </w:rPr>
        <w:t xml:space="preserve">5. OAuth — Current State &amp; Work List</w:t>
      </w:r>
    </w:p>
    <w:p>
      <w:pPr>
        <w:pStyle w:val="Heading2"/>
        <w:spacing w:after="80" w:before="240"/>
      </w:pPr>
      <w:r>
        <w:rPr>
          <w:rFonts w:ascii="Arial" w:cs="Arial" w:eastAsia="Arial" w:hAnsi="Arial"/>
          <w:b/>
          <w:bCs/>
          <w:color w:val="111111"/>
          <w:sz w:val="24"/>
          <w:szCs w:val="24"/>
        </w:rPr>
        <w:t xml:space="preserve">5.1  What's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DDDDD" w:sz="1"/>
              <w:left w:val="single" w:color="DDDDDD" w:sz="1"/>
              <w:bottom w:val="single" w:color="DDDDDD" w:sz="1"/>
              <w:right w:val="single" w:color="DDDDDD" w:sz="1"/>
            </w:tcBorders>
            <w:shd w:fill="5146DC" w:val="clear"/>
            <w:tcMar>
              <w:top w:type="dxa" w:w="80"/>
              <w:left w:type="dxa" w:w="120"/>
              <w:bottom w:type="dxa" w:w="80"/>
              <w:right w:type="dxa" w:w="120"/>
            </w:tcMar>
          </w:tcPr>
          <w:p>
            <w:r>
              <w:rPr>
                <w:rFonts w:ascii="Arial" w:cs="Arial" w:eastAsia="Arial" w:hAnsi="Arial"/>
                <w:b/>
                <w:bCs/>
                <w:color w:val="FFFFFF"/>
                <w:sz w:val="18"/>
                <w:szCs w:val="18"/>
              </w:rPr>
              <w:t xml:space="preserve">Story</w:t>
            </w:r>
          </w:p>
        </w:tc>
        <w:tc>
          <w:tcPr>
            <w:tcW w:type="dxa" w:w="2800"/>
            <w:tcBorders>
              <w:top w:val="single" w:color="DDDDDD" w:sz="1"/>
              <w:left w:val="single" w:color="DDDDDD" w:sz="1"/>
              <w:bottom w:val="single" w:color="DDDDDD" w:sz="1"/>
              <w:right w:val="single" w:color="DDDDDD" w:sz="1"/>
            </w:tcBorders>
            <w:shd w:fill="5146D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760"/>
            <w:tcBorders>
              <w:top w:val="single" w:color="DDDDDD" w:sz="1"/>
              <w:left w:val="single" w:color="DDDDDD" w:sz="1"/>
              <w:bottom w:val="single" w:color="DDDDDD" w:sz="1"/>
              <w:right w:val="single" w:color="DDDDDD" w:sz="1"/>
            </w:tcBorders>
            <w:shd w:fill="5146D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US-004</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Web app SSO — Google + Microsoft</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login/page.tsx wires supabase.auth.signInWithOAuth for both providers. Safe redirect (US-329). Callback validates and exchanges code.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US-329</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Open redirect guard on /auth/callback</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safeRedirectPath() allowlists 16 app roots. No chained redirects possible.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US-338</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PKCE S256 on Gmail OAuth flow</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/api/auth/google/start generates verifier+challenge, stores in httpOnly cookie. Callback rejects if pkce_missing.</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US-343</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Same-agency conflict detection</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Pre-check for existing provider_connections row before upsert; returns already-bound redirect UX.</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US-369</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Extension session bypass fix</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/api/auth/extension/validate checks user_sessions revocation. Extension must call this every refresh cycle.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US-370</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Extension OAuth popup flow</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init → callback renders self-closing HTML page that postMessages tokens to window.opener.</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US-371</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Extension token refresh + validate</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refresh route uses anon client to call supabase.auth.refreshSession, then checks user_sessions. CORS restricted to chrome-extension://&lt;ID&gt;.</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US-436</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Microsoft admin consent flow</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/api/auth/microsoft/adminconsent + adminconsent-callback handle tenant-wide consent. ikhaya_tenant_ms_tenants table tracks status.</w:t>
            </w:r>
          </w:p>
        </w:tc>
      </w:tr>
    </w:tbl>
    <w:p>
      <w:pPr>
        <w:spacing w:before="200"/>
      </w:pPr>
    </w:p>
    <w:p>
      <w:pPr>
        <w:pStyle w:val="Heading2"/>
        <w:spacing w:after="80" w:before="240"/>
      </w:pPr>
      <w:r>
        <w:rPr>
          <w:rFonts w:ascii="Arial" w:cs="Arial" w:eastAsia="Arial" w:hAnsi="Arial"/>
          <w:b/>
          <w:bCs/>
          <w:color w:val="111111"/>
          <w:sz w:val="24"/>
          <w:szCs w:val="24"/>
        </w:rPr>
        <w:t xml:space="preserve">5.2  OAuth Work List — Gaps to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700"/>
        <w:gridCol w:w="900"/>
        <w:gridCol w:w="3260"/>
      </w:tblGrid>
      <w:tr>
        <w:trPr>
          <w:tblHeader/>
        </w:trPr>
        <w:tc>
          <w:tcPr>
            <w:tcW w:type="dxa" w:w="900"/>
            <w:tcBorders>
              <w:top w:val="single" w:color="DDDDDD" w:sz="1"/>
              <w:left w:val="single" w:color="DDDDDD" w:sz="1"/>
              <w:bottom w:val="single" w:color="DDDDDD" w:sz="1"/>
              <w:right w:val="single" w:color="DDDDDD" w:sz="1"/>
            </w:tcBorders>
            <w:shd w:fill="5146DC" w:val="clear"/>
            <w:tcMar>
              <w:top w:type="dxa" w:w="80"/>
              <w:left w:type="dxa" w:w="120"/>
              <w:bottom w:type="dxa" w:w="80"/>
              <w:right w:type="dxa" w:w="120"/>
            </w:tcMar>
          </w:tcPr>
          <w:p>
            <w:r>
              <w:rPr>
                <w:rFonts w:ascii="Arial" w:cs="Arial" w:eastAsia="Arial" w:hAnsi="Arial"/>
                <w:b/>
                <w:bCs/>
                <w:color w:val="FFFFFF"/>
                <w:sz w:val="18"/>
                <w:szCs w:val="18"/>
              </w:rPr>
              <w:t xml:space="preserve">US-ID</w:t>
            </w:r>
          </w:p>
        </w:tc>
        <w:tc>
          <w:tcPr>
            <w:tcW w:type="dxa" w:w="3600"/>
            <w:tcBorders>
              <w:top w:val="single" w:color="DDDDDD" w:sz="1"/>
              <w:left w:val="single" w:color="DDDDDD" w:sz="1"/>
              <w:bottom w:val="single" w:color="DDDDDD" w:sz="1"/>
              <w:right w:val="single" w:color="DDDDDD" w:sz="1"/>
            </w:tcBorders>
            <w:shd w:fill="5146DC"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700"/>
            <w:tcBorders>
              <w:top w:val="single" w:color="DDDDDD" w:sz="1"/>
              <w:left w:val="single" w:color="DDDDDD" w:sz="1"/>
              <w:bottom w:val="single" w:color="DDDDDD" w:sz="1"/>
              <w:right w:val="single" w:color="DDDDDD" w:sz="1"/>
            </w:tcBorders>
            <w:shd w:fill="5146DC" w:val="clear"/>
            <w:tcMar>
              <w:top w:type="dxa" w:w="80"/>
              <w:left w:type="dxa" w:w="120"/>
              <w:bottom w:type="dxa" w:w="80"/>
              <w:right w:type="dxa" w:w="120"/>
            </w:tcMar>
          </w:tcPr>
          <w:p>
            <w:r>
              <w:rPr>
                <w:rFonts w:ascii="Arial" w:cs="Arial" w:eastAsia="Arial" w:hAnsi="Arial"/>
                <w:b/>
                <w:bCs/>
                <w:color w:val="FFFFFF"/>
                <w:sz w:val="18"/>
                <w:szCs w:val="18"/>
              </w:rPr>
              <w:t xml:space="preserve">Pri</w:t>
            </w:r>
          </w:p>
        </w:tc>
        <w:tc>
          <w:tcPr>
            <w:tcW w:type="dxa" w:w="900"/>
            <w:tcBorders>
              <w:top w:val="single" w:color="DDDDDD" w:sz="1"/>
              <w:left w:val="single" w:color="DDDDDD" w:sz="1"/>
              <w:bottom w:val="single" w:color="DDDDDD" w:sz="1"/>
              <w:right w:val="single" w:color="DDDDDD" w:sz="1"/>
            </w:tcBorders>
            <w:shd w:fill="5146DC"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3260"/>
            <w:tcBorders>
              <w:top w:val="single" w:color="DDDDDD" w:sz="1"/>
              <w:left w:val="single" w:color="DDDDDD" w:sz="1"/>
              <w:bottom w:val="single" w:color="DDDDDD" w:sz="1"/>
              <w:right w:val="single" w:color="DDDDDD" w:sz="1"/>
            </w:tcBorders>
            <w:shd w:fill="5146D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NEW-A</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Fix: hardcoded generatedBy in match-score — read actual model from response</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35400"/>
                <w:sz w:val="18"/>
                <w:szCs w:val="18"/>
              </w:rPr>
              <w:t xml:space="preserve">P1</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1h</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lib/ai/match-score.ts line 175. Affects AI transparency model card links.</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NEW-B</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Fix: add .catch() to 3 floating portal event inserts</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35400"/>
                <w:sz w:val="18"/>
                <w:szCs w:val="18"/>
              </w:rPr>
              <w:t xml:space="preserve">P1</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1h</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candidate-portal/send-link/route.ts lines 71, 115. candidate-portal/[token]/route.ts line 50.</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NEW-C</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Fix: useRecruiterRampData unhandled Promise.all rejection</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35400"/>
                <w:sz w:val="18"/>
                <w:szCs w:val="18"/>
              </w:rPr>
              <w:t xml:space="preserve">P1</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2h</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hooks.ts ~line 2460. Wrap in try/catch, add setError + setLoading(false) in finally.</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NEW-D</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Migration 076: document orgs→agencies + clients→companies renames</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0392B"/>
                <w:sz w:val="18"/>
                <w:szCs w:val="18"/>
              </w:rPr>
              <w:t xml:space="preserve">P0</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4h</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Without this a fresh DB restore from migrations produces wrong table names. Verify prod schema first, then write the migration.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NEW-E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Migration 077: add education table definition</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35400"/>
                <w:sz w:val="18"/>
                <w:szCs w:val="18"/>
              </w:rPr>
              <w:t xml:space="preserve">P1</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2h</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Either document existing schema or remove the 3 hook call sites. Hooks silently return [] now.</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NEW-F</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Memoize createServiceClient() at module level</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P2</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1h</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lib/supabase/service.ts. Prevents repeated instantiation in recordUsage hot path.</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NEW-G</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Remove or replace lib/auth.ts getAgencyId() fallback</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35400"/>
                <w:sz w:val="18"/>
                <w:szCs w:val="18"/>
              </w:rPr>
              <w:t xml:space="preserve">P1</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2h</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Returns user.id as agencyId fallback. All callers should use getAgencyContext() instead. Audit call sites.</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NEW-H</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Request-scope the agency-cache or document atomicity caveat</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P2</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4h</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Module-level singleton is safe under current load but brittle. Use AsyncLocalStorage or add a comment block documenting the accepted race condition.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NEW-I</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Embedding fallback alert: production monitoring</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P2</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3h</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Add a health check or metric emission when keywordEmbed() activates in prod. Silent quality degradation is hard to debug.</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US-303</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React Query migration — complete remaining 61 hooks</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35400"/>
                <w:sz w:val="18"/>
                <w:szCs w:val="18"/>
              </w:rPr>
              <w:t xml:space="preserve">P1</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3-4d</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In Progress. Highest-impact reliability win in the app.</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US-063</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Saved Views &amp; Chart Kit — complete</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P2</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TBD</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Still in Backlog. Blocked until US-303 complete (hooks migration needed for view hydration).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US-463</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Per-Tenant Cost Attribution &amp; Margin Reporting</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35400"/>
                <w:sz w:val="18"/>
                <w:szCs w:val="18"/>
              </w:rPr>
              <w:t xml:space="preserve">P1</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TBD</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Schema in place (075). Need lib/super-admin/cost-attribution.ts + page.</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US-464</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Per-Tenant Integration Inventory &amp; Health Panel</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35400"/>
                <w:sz w:val="18"/>
                <w:szCs w:val="18"/>
              </w:rPr>
              <w:t xml:space="preserve">P1</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TBD</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agency_connectors.last_sync_status added in 075. Need health panel page.</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US-465</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Tenant Health Score &amp; Churn Risk Signals</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P2</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TBD</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tenant_health_snapshots in 075. Need nightly compute job + sparkline component.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US-466</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Per-Tenant Billing &amp; Revenue Panel</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P2</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TBD</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Relies on billing_events (061). Need super-admin billing page aggregation.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US-467</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8"/>
                <w:szCs w:val="18"/>
              </w:rPr>
              <w:t xml:space="preserve">Tenant ↔ Support Ticket Linkage</w:t>
            </w:r>
          </w:p>
        </w:tc>
        <w:tc>
          <w:tcPr>
            <w:tcW w:type="dxa" w:w="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5146DC"/>
                <w:sz w:val="18"/>
                <w:szCs w:val="18"/>
              </w:rPr>
              <w:t xml:space="preserve">P2</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TBD</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18"/>
                <w:szCs w:val="18"/>
              </w:rPr>
              <w:t xml:space="preserve">support_tickets in 075. Need webhook receiver + super-admin tenant detail view.</w:t>
            </w:r>
          </w:p>
        </w:tc>
      </w:tr>
    </w:tbl>
    <w:p>
      <w:pPr>
        <w:spacing w:before="240"/>
      </w:pPr>
    </w:p>
    <w:p>
      <w:pPr>
        <w:pBdr>
          <w:bottom w:val="single" w:color="CCCCCC" w:sz="4" w:space="1"/>
        </w:pBdr>
        <w:spacing w:after="100" w:before="100"/>
      </w:pPr>
    </w:p>
    <w:p>
      <w:pPr>
        <w:pStyle w:val="Heading1"/>
        <w:spacing w:after="120" w:before="320"/>
      </w:pPr>
      <w:r>
        <w:rPr>
          <w:rFonts w:ascii="Arial" w:cs="Arial" w:eastAsia="Arial" w:hAnsi="Arial"/>
          <w:b/>
          <w:bCs/>
          <w:color w:val="5146DC"/>
          <w:sz w:val="32"/>
          <w:szCs w:val="32"/>
        </w:rPr>
        <w:t xml:space="preserve">6. Recommended Execution Order</w:t>
      </w:r>
    </w:p>
    <w:p>
      <w:pPr>
        <w:pStyle w:val="Heading2"/>
        <w:spacing w:after="80" w:before="240"/>
      </w:pPr>
      <w:r>
        <w:rPr>
          <w:rFonts w:ascii="Arial" w:cs="Arial" w:eastAsia="Arial" w:hAnsi="Arial"/>
          <w:b/>
          <w:bCs/>
          <w:color w:val="111111"/>
          <w:sz w:val="24"/>
          <w:szCs w:val="24"/>
        </w:rPr>
        <w:t xml:space="preserve">Wave 1 — This Week (P0 + P1 bugs, low effort)</w:t>
      </w:r>
    </w:p>
    <w:p>
      <w:pPr>
        <w:pStyle w:val="ListParagraph"/>
        <w:numPr>
          <w:ilvl w:val="0"/>
          <w:numId w:val="2"/>
        </w:numPr>
        <w:spacing w:after="40" w:before="40"/>
      </w:pPr>
      <w:r>
        <w:rPr>
          <w:rFonts w:ascii="Arial" w:cs="Arial" w:eastAsia="Arial" w:hAnsi="Arial"/>
          <w:b w:val="false"/>
          <w:bCs w:val="false"/>
          <w:color w:val="111111"/>
          <w:sz w:val="20"/>
          <w:szCs w:val="20"/>
        </w:rPr>
        <w:t xml:space="preserve">NEW-D: Write migration 076 to document orgs/clients renames (P0 — schema runbook risk)</w:t>
      </w:r>
    </w:p>
    <w:p>
      <w:pPr>
        <w:pStyle w:val="ListParagraph"/>
        <w:numPr>
          <w:ilvl w:val="0"/>
          <w:numId w:val="2"/>
        </w:numPr>
        <w:spacing w:after="40" w:before="40"/>
      </w:pPr>
      <w:r>
        <w:rPr>
          <w:rFonts w:ascii="Arial" w:cs="Arial" w:eastAsia="Arial" w:hAnsi="Arial"/>
          <w:b w:val="false"/>
          <w:bCs w:val="false"/>
          <w:color w:val="111111"/>
          <w:sz w:val="20"/>
          <w:szCs w:val="20"/>
        </w:rPr>
        <w:t xml:space="preserve">NEW-B: Add .catch to 3 floating portal inserts (1 hour)</w:t>
      </w:r>
    </w:p>
    <w:p>
      <w:pPr>
        <w:pStyle w:val="ListParagraph"/>
        <w:numPr>
          <w:ilvl w:val="0"/>
          <w:numId w:val="2"/>
        </w:numPr>
        <w:spacing w:after="40" w:before="40"/>
      </w:pPr>
      <w:r>
        <w:rPr>
          <w:rFonts w:ascii="Arial" w:cs="Arial" w:eastAsia="Arial" w:hAnsi="Arial"/>
          <w:b w:val="false"/>
          <w:bCs w:val="false"/>
          <w:color w:val="111111"/>
          <w:sz w:val="20"/>
          <w:szCs w:val="20"/>
        </w:rPr>
        <w:t xml:space="preserve">NEW-C: Fix useRecruiterRampData unhandled rejection (2 hours)</w:t>
      </w:r>
    </w:p>
    <w:p>
      <w:pPr>
        <w:pStyle w:val="ListParagraph"/>
        <w:numPr>
          <w:ilvl w:val="0"/>
          <w:numId w:val="2"/>
        </w:numPr>
        <w:spacing w:after="40" w:before="40"/>
      </w:pPr>
      <w:r>
        <w:rPr>
          <w:rFonts w:ascii="Arial" w:cs="Arial" w:eastAsia="Arial" w:hAnsi="Arial"/>
          <w:b w:val="false"/>
          <w:bCs w:val="false"/>
          <w:color w:val="111111"/>
          <w:sz w:val="20"/>
          <w:szCs w:val="20"/>
        </w:rPr>
        <w:t xml:space="preserve">NEW-G: Audit + replace getAgencyId() call sites with getAgencyContext()</w:t>
      </w:r>
    </w:p>
    <w:p>
      <w:pPr>
        <w:pStyle w:val="ListParagraph"/>
        <w:numPr>
          <w:ilvl w:val="0"/>
          <w:numId w:val="2"/>
        </w:numPr>
        <w:spacing w:after="40" w:before="40"/>
      </w:pPr>
      <w:r>
        <w:rPr>
          <w:rFonts w:ascii="Arial" w:cs="Arial" w:eastAsia="Arial" w:hAnsi="Arial"/>
          <w:b w:val="false"/>
          <w:bCs w:val="false"/>
          <w:color w:val="111111"/>
          <w:sz w:val="20"/>
          <w:szCs w:val="20"/>
        </w:rPr>
        <w:t xml:space="preserve">NEW-A: Fix hardcoded generatedBy in match-score</w:t>
      </w:r>
    </w:p>
    <w:p>
      <w:pPr>
        <w:pStyle w:val="Heading2"/>
        <w:spacing w:after="80" w:before="240"/>
      </w:pPr>
      <w:r>
        <w:rPr>
          <w:rFonts w:ascii="Arial" w:cs="Arial" w:eastAsia="Arial" w:hAnsi="Arial"/>
          <w:b/>
          <w:bCs/>
          <w:color w:val="111111"/>
          <w:sz w:val="24"/>
          <w:szCs w:val="24"/>
        </w:rPr>
        <w:t xml:space="preserve">Wave 2 — Next Sprint (US-303 focus)</w:t>
      </w:r>
    </w:p>
    <w:p>
      <w:pPr>
        <w:pStyle w:val="ListParagraph"/>
        <w:numPr>
          <w:ilvl w:val="0"/>
          <w:numId w:val="2"/>
        </w:numPr>
        <w:spacing w:after="40" w:before="40"/>
      </w:pPr>
      <w:r>
        <w:rPr>
          <w:rFonts w:ascii="Arial" w:cs="Arial" w:eastAsia="Arial" w:hAnsi="Arial"/>
          <w:b w:val="false"/>
          <w:bCs w:val="false"/>
          <w:color w:val="111111"/>
          <w:sz w:val="20"/>
          <w:szCs w:val="20"/>
        </w:rPr>
        <w:t xml:space="preserve">US-303: React Query migration for all remaining hooks — biggest reliability win.</w:t>
      </w:r>
    </w:p>
    <w:p>
      <w:pPr>
        <w:pStyle w:val="ListParagraph"/>
        <w:numPr>
          <w:ilvl w:val="0"/>
          <w:numId w:val="2"/>
        </w:numPr>
        <w:spacing w:after="40" w:before="40"/>
      </w:pPr>
      <w:r>
        <w:rPr>
          <w:rFonts w:ascii="Arial" w:cs="Arial" w:eastAsia="Arial" w:hAnsi="Arial"/>
          <w:b w:val="false"/>
          <w:bCs w:val="false"/>
          <w:color w:val="111111"/>
          <w:sz w:val="20"/>
          <w:szCs w:val="20"/>
        </w:rPr>
        <w:t xml:space="preserve">NEW-E: Document or create education table.</w:t>
      </w:r>
    </w:p>
    <w:p>
      <w:pPr>
        <w:pStyle w:val="ListParagraph"/>
        <w:numPr>
          <w:ilvl w:val="0"/>
          <w:numId w:val="2"/>
        </w:numPr>
        <w:spacing w:after="40" w:before="40"/>
      </w:pPr>
      <w:r>
        <w:rPr>
          <w:rFonts w:ascii="Arial" w:cs="Arial" w:eastAsia="Arial" w:hAnsi="Arial"/>
          <w:b w:val="false"/>
          <w:bCs w:val="false"/>
          <w:color w:val="111111"/>
          <w:sz w:val="20"/>
          <w:szCs w:val="20"/>
        </w:rPr>
        <w:t xml:space="preserve">NEW-H: Request-scope agency-cache or document the atomicity caveat.</w:t>
      </w:r>
    </w:p>
    <w:p>
      <w:pPr>
        <w:pStyle w:val="ListParagraph"/>
        <w:numPr>
          <w:ilvl w:val="0"/>
          <w:numId w:val="2"/>
        </w:numPr>
        <w:spacing w:after="40" w:before="40"/>
      </w:pPr>
      <w:r>
        <w:rPr>
          <w:rFonts w:ascii="Arial" w:cs="Arial" w:eastAsia="Arial" w:hAnsi="Arial"/>
          <w:b w:val="false"/>
          <w:bCs w:val="false"/>
          <w:color w:val="111111"/>
          <w:sz w:val="20"/>
          <w:szCs w:val="20"/>
        </w:rPr>
        <w:t xml:space="preserve">NEW-F: Memoize createServiceClient().</w:t>
      </w:r>
    </w:p>
    <w:p>
      <w:pPr>
        <w:pStyle w:val="Heading2"/>
        <w:spacing w:after="80" w:before="240"/>
      </w:pPr>
      <w:r>
        <w:rPr>
          <w:rFonts w:ascii="Arial" w:cs="Arial" w:eastAsia="Arial" w:hAnsi="Arial"/>
          <w:b/>
          <w:bCs/>
          <w:color w:val="111111"/>
          <w:sz w:val="24"/>
          <w:szCs w:val="24"/>
        </w:rPr>
        <w:t xml:space="preserve">Wave 3 — Following Sprint (Super-Admin Backlog + Monitoring)</w:t>
      </w:r>
    </w:p>
    <w:p>
      <w:pPr>
        <w:pStyle w:val="ListParagraph"/>
        <w:numPr>
          <w:ilvl w:val="0"/>
          <w:numId w:val="2"/>
        </w:numPr>
        <w:spacing w:after="40" w:before="40"/>
      </w:pPr>
      <w:r>
        <w:rPr>
          <w:rFonts w:ascii="Arial" w:cs="Arial" w:eastAsia="Arial" w:hAnsi="Arial"/>
          <w:b w:val="false"/>
          <w:bCs w:val="false"/>
          <w:color w:val="111111"/>
          <w:sz w:val="20"/>
          <w:szCs w:val="20"/>
        </w:rPr>
        <w:t xml:space="preserve">NEW-I: Embedding fallback monitoring.</w:t>
      </w:r>
    </w:p>
    <w:p>
      <w:pPr>
        <w:pStyle w:val="ListParagraph"/>
        <w:numPr>
          <w:ilvl w:val="0"/>
          <w:numId w:val="2"/>
        </w:numPr>
        <w:spacing w:after="40" w:before="40"/>
      </w:pPr>
      <w:r>
        <w:rPr>
          <w:rFonts w:ascii="Arial" w:cs="Arial" w:eastAsia="Arial" w:hAnsi="Arial"/>
          <w:b w:val="false"/>
          <w:bCs w:val="false"/>
          <w:color w:val="111111"/>
          <w:sz w:val="20"/>
          <w:szCs w:val="20"/>
        </w:rPr>
        <w:t xml:space="preserve">US-463 through US-467: Super-admin tenant panels (schema already shipped in 075).</w:t>
      </w:r>
    </w:p>
    <w:p>
      <w:pPr>
        <w:pStyle w:val="ListParagraph"/>
        <w:numPr>
          <w:ilvl w:val="0"/>
          <w:numId w:val="2"/>
        </w:numPr>
        <w:spacing w:after="40" w:before="40"/>
      </w:pPr>
      <w:r>
        <w:rPr>
          <w:rFonts w:ascii="Arial" w:cs="Arial" w:eastAsia="Arial" w:hAnsi="Arial"/>
          <w:b w:val="false"/>
          <w:bCs w:val="false"/>
          <w:color w:val="111111"/>
          <w:sz w:val="20"/>
          <w:szCs w:val="20"/>
        </w:rPr>
        <w:t xml:space="preserve">US-063: Saved Views &amp; Chart Kit (after US-303 complete).</w:t>
      </w:r>
    </w:p>
    <w:p>
      <w:pPr>
        <w:spacing w:before="200"/>
      </w:pPr>
    </w:p>
    <w:p>
      <w:pPr>
        <w:pBdr>
          <w:bottom w:val="single" w:color="CCCCCC" w:sz="4" w:space="1"/>
        </w:pBdr>
        <w:spacing w:after="100" w:before="100"/>
      </w:pPr>
    </w:p>
    <w:p>
      <w:pPr>
        <w:spacing w:before="100"/>
      </w:pPr>
      <w:r>
        <w:rPr>
          <w:rFonts w:ascii="Arial" w:cs="Arial" w:eastAsia="Arial" w:hAnsi="Arial"/>
          <w:i/>
          <w:iCs/>
          <w:color w:val="4A4A4A"/>
          <w:sz w:val="16"/>
          <w:szCs w:val="16"/>
        </w:rPr>
        <w:t xml:space="preserve">Audit performed by Claude (dev agent) — Ikhaya ATS, May 6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4A4A4A"/>
        <w:sz w:val="16"/>
        <w:szCs w:val="16"/>
      </w:rPr>
      <w:t xml:space="preserve">CONFIDENTIAL — Internal Dev Reference</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146DC" w:sz="4" w:space="1"/>
      </w:pBdr>
      <w:tabs>
        <w:tab w:val="right" w:pos="9360"/>
      </w:tabs>
    </w:pPr>
    <w:r>
      <w:rPr>
        <w:rFonts w:ascii="Arial" w:cs="Arial" w:eastAsia="Arial" w:hAnsi="Arial"/>
        <w:b/>
        <w:bCs/>
        <w:color w:val="5146DC"/>
        <w:sz w:val="18"/>
        <w:szCs w:val="18"/>
      </w:rPr>
      <w:t xml:space="preserve">Ikhaya ATS — Codebase Audit Report</w:t>
    </w:r>
    <w:r>
      <w:rPr>
        <w:sz w:val="18"/>
        <w:szCs w:val="18"/>
      </w:rPr>
      <w:t xml:space="preserve">	</w:t>
    </w:r>
    <w:r>
      <w:rPr>
        <w:rFonts w:ascii="Arial" w:cs="Arial" w:eastAsia="Arial" w:hAnsi="Arial"/>
        <w:color w:val="4A4A4A"/>
        <w:sz w:val="18"/>
        <w:szCs w:val="18"/>
      </w:rPr>
      <w:t xml:space="preserve">May 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5146D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2026-05-07T01:45:20.557Z</dcterms:created>
  <dcterms:modified xsi:type="dcterms:W3CDTF">2026-05-07T01:45:20.557Z</dcterms:modified>
</cp:coreProperties>
</file>

<file path=docProps/custom.xml><?xml version="1.0" encoding="utf-8"?>
<Properties xmlns="http://schemas.openxmlformats.org/officeDocument/2006/custom-properties" xmlns:vt="http://schemas.openxmlformats.org/officeDocument/2006/docPropsVTypes"/>
</file>