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1E" w:rsidRPr="0081021E" w:rsidRDefault="0081021E">
      <w:pPr>
        <w:rPr>
          <w:b/>
          <w:lang w:val="es-MX"/>
        </w:rPr>
      </w:pPr>
      <w:r w:rsidRPr="0081021E">
        <w:rPr>
          <w:b/>
          <w:lang w:val="es-MX"/>
        </w:rPr>
        <w:t>MODERNIDAD COLONIALIDAD Y DESCOLONIALIDAD</w:t>
      </w:r>
    </w:p>
    <w:p w:rsidR="001C73CC" w:rsidRDefault="00AF7200">
      <w:pPr>
        <w:rPr>
          <w:lang w:val="es-MX"/>
        </w:rPr>
      </w:pPr>
      <w:r>
        <w:rPr>
          <w:lang w:val="es-MX"/>
        </w:rPr>
        <w:t xml:space="preserve">ha sido el marco interpretativo más visible que haya surgido en los años 2000 </w:t>
      </w:r>
    </w:p>
    <w:p w:rsidR="00AF7200" w:rsidRDefault="00AF7200">
      <w:pPr>
        <w:rPr>
          <w:lang w:val="es-MX"/>
        </w:rPr>
      </w:pPr>
      <w:r>
        <w:rPr>
          <w:lang w:val="es-MX"/>
        </w:rPr>
        <w:t xml:space="preserve">El MCD representa un ejemplo clásico del surgimiento de una perspectiva nueva y su expansión a través de autores, publicaciones, </w:t>
      </w:r>
      <w:proofErr w:type="spellStart"/>
      <w:r>
        <w:rPr>
          <w:lang w:val="es-MX"/>
        </w:rPr>
        <w:t>etc</w:t>
      </w:r>
      <w:proofErr w:type="spellEnd"/>
    </w:p>
    <w:p w:rsidR="00AF7200" w:rsidRDefault="008870A1">
      <w:pPr>
        <w:rPr>
          <w:lang w:val="es-MX"/>
        </w:rPr>
      </w:pPr>
      <w:r>
        <w:rPr>
          <w:lang w:val="es-MX"/>
        </w:rPr>
        <w:t>Además,</w:t>
      </w:r>
      <w:r w:rsidR="00AF7200">
        <w:rPr>
          <w:lang w:val="es-MX"/>
        </w:rPr>
        <w:t xml:space="preserve"> tiene categorías funcionales como la reinterpretación de la conquista, es decir, verla de una nueva perspectiva y también tenemos la categoría del eurocentrismo como forma de conocimiento fundante de dicho sistema</w:t>
      </w:r>
    </w:p>
    <w:p w:rsidR="0081021E" w:rsidRDefault="0081021E">
      <w:pPr>
        <w:rPr>
          <w:lang w:val="es-MX"/>
        </w:rPr>
      </w:pPr>
      <w:r>
        <w:rPr>
          <w:lang w:val="es-MX"/>
        </w:rPr>
        <w:t xml:space="preserve">El MCD se diferencia en varios aspectos como: </w:t>
      </w:r>
    </w:p>
    <w:p w:rsidR="0081021E" w:rsidRDefault="0081021E">
      <w:pPr>
        <w:rPr>
          <w:lang w:val="es-MX"/>
        </w:rPr>
      </w:pPr>
      <w:r>
        <w:rPr>
          <w:lang w:val="es-MX"/>
        </w:rPr>
        <w:t>aborda la modernidad de una manera novedosa crítica y decidida.</w:t>
      </w:r>
    </w:p>
    <w:p w:rsidR="0081021E" w:rsidRDefault="0081021E">
      <w:pPr>
        <w:rPr>
          <w:lang w:val="es-MX"/>
        </w:rPr>
      </w:pPr>
      <w:r>
        <w:rPr>
          <w:lang w:val="es-MX"/>
        </w:rPr>
        <w:t>Identifica la descolonización con dominio crucial de lucha y de transformación del mundo</w:t>
      </w:r>
    </w:p>
    <w:p w:rsidR="0081021E" w:rsidRDefault="0081021E" w:rsidP="0081021E">
      <w:r w:rsidRPr="0081021E">
        <w:t xml:space="preserve">Va más allá de las perspectivas </w:t>
      </w:r>
      <w:proofErr w:type="spellStart"/>
      <w:r w:rsidRPr="0081021E">
        <w:t>intra</w:t>
      </w:r>
      <w:proofErr w:type="spellEnd"/>
      <w:r w:rsidRPr="0081021E">
        <w:t xml:space="preserve">-europeas e </w:t>
      </w:r>
      <w:proofErr w:type="spellStart"/>
      <w:r w:rsidRPr="0081021E">
        <w:t>intra</w:t>
      </w:r>
      <w:proofErr w:type="spellEnd"/>
      <w:r w:rsidRPr="0081021E">
        <w:t>-modernas sobre la modernidad y la realidad</w:t>
      </w:r>
    </w:p>
    <w:p w:rsidR="0081021E" w:rsidRDefault="0081021E" w:rsidP="0081021E">
      <w:pPr>
        <w:rPr>
          <w:b/>
        </w:rPr>
      </w:pPr>
      <w:r w:rsidRPr="0081021E">
        <w:rPr>
          <w:b/>
        </w:rPr>
        <w:t>ALTERNATIVAS AL DESARROLLO</w:t>
      </w:r>
    </w:p>
    <w:p w:rsidR="0081021E" w:rsidRDefault="0081021E" w:rsidP="0081021E">
      <w:r w:rsidRPr="0081021E">
        <w:t xml:space="preserve">La noción de una alternativa a la idea misma del “desarrollo” pareciera estar emergiendo como una propuesta fuerte, aun </w:t>
      </w:r>
      <w:r w:rsidR="008870A1" w:rsidRPr="0081021E">
        <w:t>así,</w:t>
      </w:r>
      <w:r w:rsidRPr="0081021E">
        <w:t xml:space="preserve"> se realizado por </w:t>
      </w:r>
      <w:proofErr w:type="spellStart"/>
      <w:r w:rsidRPr="0081021E">
        <w:t>Gudynas</w:t>
      </w:r>
      <w:proofErr w:type="spellEnd"/>
      <w:r w:rsidRPr="0081021E">
        <w:t xml:space="preserve"> y Acosta y sus colaboradores en distintos países </w:t>
      </w:r>
    </w:p>
    <w:p w:rsidR="0081021E" w:rsidRDefault="0081021E" w:rsidP="0081021E">
      <w:pPr>
        <w:rPr>
          <w:rFonts w:ascii="Calibri" w:hAnsi="Calibri" w:cs="Calibri"/>
          <w:color w:val="233A44"/>
          <w:sz w:val="40"/>
          <w:szCs w:val="40"/>
        </w:rPr>
      </w:pPr>
      <w:r>
        <w:t>Esta</w:t>
      </w:r>
      <w:r w:rsidRPr="0081021E">
        <w:t xml:space="preserve"> noción de una alternativa del “desarrollo” se discute en ámbitos académicos e intelectuales/ políticos en muchos países</w:t>
      </w:r>
      <w:r>
        <w:rPr>
          <w:rFonts w:ascii="Calibri" w:hAnsi="Calibri" w:cs="Calibri"/>
          <w:color w:val="233A44"/>
          <w:sz w:val="40"/>
          <w:szCs w:val="40"/>
        </w:rPr>
        <w:t>.</w:t>
      </w:r>
    </w:p>
    <w:p w:rsidR="0081021E" w:rsidRDefault="0081021E" w:rsidP="0081021E">
      <w:r w:rsidRPr="0081021E">
        <w:t>Los detonantes más importantes para esta discusión, han sido el Buen Vivir (BV) y los debates sobre los derechos de naturaleza (DN).</w:t>
      </w:r>
    </w:p>
    <w:p w:rsidR="008870A1" w:rsidRDefault="008870A1" w:rsidP="008870A1">
      <w:r w:rsidRPr="008870A1">
        <w:t>Esta tendencia propone un cuestionamiento radical a lo que actualmente pensamos sobre el “desarrollo”</w:t>
      </w:r>
    </w:p>
    <w:p w:rsidR="008870A1" w:rsidRDefault="008870A1" w:rsidP="008870A1">
      <w:r w:rsidRPr="008870A1">
        <w:t>Identifica la necesidad de ir más allá de los saberes occidentales y recupera las discusiones sobre BV y DN como “plataforma política para la construcción de alternativas al desarrollo”</w:t>
      </w:r>
    </w:p>
    <w:p w:rsidR="008870A1" w:rsidRDefault="008870A1" w:rsidP="008870A1">
      <w:r>
        <w:t>El Buen vivir y los derechos de naturaleza, a</w:t>
      </w:r>
      <w:r w:rsidRPr="008870A1">
        <w:t xml:space="preserve">ntes que intervenciones aisladas, deben considerarse como toda una gama de innovaciones que deben ser consideradas como </w:t>
      </w:r>
      <w:proofErr w:type="spellStart"/>
      <w:r w:rsidRPr="008870A1">
        <w:t>multi</w:t>
      </w:r>
      <w:proofErr w:type="spellEnd"/>
      <w:r w:rsidRPr="008870A1">
        <w:t xml:space="preserve">-culturales y </w:t>
      </w:r>
      <w:proofErr w:type="spellStart"/>
      <w:r w:rsidRPr="008870A1">
        <w:t>multi-epistemicas</w:t>
      </w:r>
      <w:proofErr w:type="spellEnd"/>
      <w:r w:rsidRPr="008870A1">
        <w:t>.</w:t>
      </w:r>
      <w:bookmarkStart w:id="0" w:name="_GoBack"/>
      <w:bookmarkEnd w:id="0"/>
    </w:p>
    <w:p w:rsidR="008870A1" w:rsidRDefault="008870A1" w:rsidP="008870A1">
      <w:pPr>
        <w:rPr>
          <w:b/>
        </w:rPr>
      </w:pPr>
      <w:r>
        <w:rPr>
          <w:b/>
        </w:rPr>
        <w:t>TRANSICIONES AL POSTEXTRATIVISMO</w:t>
      </w:r>
    </w:p>
    <w:p w:rsidR="008870A1" w:rsidRPr="008870A1" w:rsidRDefault="008870A1" w:rsidP="008870A1">
      <w:r>
        <w:t>Los discursos de la transición se empeñan en promover una trasformación cultural e institucional que implique una transición a un mundo diferente.</w:t>
      </w:r>
    </w:p>
    <w:p w:rsidR="008870A1" w:rsidRDefault="008870A1" w:rsidP="008870A1">
      <w:r>
        <w:t>Los discursos de transición surgen de distintas partes del mundo y se diferencian entre los que se emanan del norte y del sur.</w:t>
      </w:r>
    </w:p>
    <w:p w:rsidR="008870A1" w:rsidRDefault="008870A1" w:rsidP="008870A1">
      <w:r>
        <w:t xml:space="preserve">En el norte </w:t>
      </w:r>
      <w:r w:rsidR="009A15F1">
        <w:t>el decrecimiento es el</w:t>
      </w:r>
      <w:r>
        <w:t xml:space="preserve"> discursos de transición </w:t>
      </w:r>
      <w:r w:rsidR="009A15F1">
        <w:t xml:space="preserve">más visible, pero hay toda una serie de propuestas sobre la </w:t>
      </w:r>
      <w:proofErr w:type="gramStart"/>
      <w:r w:rsidR="009A15F1">
        <w:t>transición .</w:t>
      </w:r>
      <w:proofErr w:type="gramEnd"/>
    </w:p>
    <w:p w:rsidR="009A15F1" w:rsidRDefault="009A15F1" w:rsidP="008870A1">
      <w:r>
        <w:lastRenderedPageBreak/>
        <w:t xml:space="preserve">En cambio, en el sur los discursos de transición se enfatizan en las transiciones al </w:t>
      </w:r>
      <w:proofErr w:type="spellStart"/>
      <w:r>
        <w:t>postextractivismo</w:t>
      </w:r>
      <w:proofErr w:type="spellEnd"/>
      <w:r>
        <w:t>.</w:t>
      </w:r>
    </w:p>
    <w:p w:rsidR="009A15F1" w:rsidRPr="009A15F1" w:rsidRDefault="009A15F1" w:rsidP="009A15F1">
      <w:r>
        <w:t xml:space="preserve">Es </w:t>
      </w:r>
      <w:r w:rsidRPr="009A15F1">
        <w:t xml:space="preserve">muy importante establecer puentes entre los </w:t>
      </w:r>
      <w:r>
        <w:t xml:space="preserve">discursos de transición </w:t>
      </w:r>
      <w:r w:rsidRPr="009A15F1">
        <w:t>del Norte y los</w:t>
      </w:r>
      <w:r>
        <w:t xml:space="preserve"> del Sur, para ganar una perspectiva y difundirlos </w:t>
      </w:r>
      <w:r w:rsidRPr="009A15F1">
        <w:t>con un sentido radical de la política. </w:t>
      </w:r>
    </w:p>
    <w:p w:rsidR="009A15F1" w:rsidRPr="009A15F1" w:rsidRDefault="009A15F1" w:rsidP="008870A1">
      <w:pPr>
        <w:rPr>
          <w:lang w:val="es-MX"/>
        </w:rPr>
      </w:pPr>
    </w:p>
    <w:p w:rsidR="009A15F1" w:rsidRPr="008870A1" w:rsidRDefault="009A15F1" w:rsidP="008870A1"/>
    <w:p w:rsidR="0081021E" w:rsidRPr="0081021E" w:rsidRDefault="0081021E" w:rsidP="0081021E"/>
    <w:p w:rsidR="0081021E" w:rsidRPr="00AF7200" w:rsidRDefault="0081021E">
      <w:pPr>
        <w:rPr>
          <w:lang w:val="es-MX"/>
        </w:rPr>
      </w:pPr>
    </w:p>
    <w:sectPr w:rsidR="0081021E" w:rsidRPr="00AF7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B6BD7"/>
    <w:multiLevelType w:val="multilevel"/>
    <w:tmpl w:val="D20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0"/>
    <w:rsid w:val="001C73CC"/>
    <w:rsid w:val="00210C38"/>
    <w:rsid w:val="006954D3"/>
    <w:rsid w:val="0077560E"/>
    <w:rsid w:val="0081021E"/>
    <w:rsid w:val="008870A1"/>
    <w:rsid w:val="009A15F1"/>
    <w:rsid w:val="00A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D772"/>
  <w15:chartTrackingRefBased/>
  <w15:docId w15:val="{C5C207D5-9B20-4748-BBA2-3B1D88AF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2022-06-25T12:17:00Z</dcterms:created>
  <dcterms:modified xsi:type="dcterms:W3CDTF">2022-06-25T14:12:00Z</dcterms:modified>
</cp:coreProperties>
</file>