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0" distT="0" distL="0" distR="0">
            <wp:extent cx="1715925" cy="2863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925" cy="2863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43"/>
          <w:szCs w:val="43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3"/>
          <w:szCs w:val="43"/>
          <w:rtl w:val="0"/>
        </w:rPr>
        <w:t xml:space="preserve">UNIVERSIDAD DE CUENCA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EB Garamond" w:cs="EB Garamond" w:eastAsia="EB Garamond" w:hAnsi="EB Garamond"/>
          <w:b w:val="1"/>
          <w:sz w:val="39"/>
          <w:szCs w:val="39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9"/>
          <w:szCs w:val="39"/>
          <w:rtl w:val="0"/>
        </w:rPr>
        <w:t xml:space="preserve">COMPUTACIÓN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EB Garamond" w:cs="EB Garamond" w:eastAsia="EB Garamond" w:hAnsi="EB Garamond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Tema: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Diferencias entre la investigación cuantitativa y cualitativa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Asignatura: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Metodología de la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Docente: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Ing. Lorena Siguenza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66.9291338582677"/>
        <w:rPr>
          <w:rFonts w:ascii="EB Garamond" w:cs="EB Garamond" w:eastAsia="EB Garamond" w:hAnsi="EB Garamond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Integrantes: </w:t>
      </w:r>
      <w:r w:rsidDel="00000000" w:rsidR="00000000" w:rsidRPr="00000000">
        <w:rPr>
          <w:rFonts w:ascii="EB Garamond" w:cs="EB Garamond" w:eastAsia="EB Garamond" w:hAnsi="EB Garamond"/>
          <w:sz w:val="37"/>
          <w:szCs w:val="37"/>
          <w:rtl w:val="0"/>
        </w:rPr>
        <w:t xml:space="preserve">Ronny Montenegro, Bryan Mendoza y Seth Caicedo</w:t>
      </w:r>
    </w:p>
    <w:p w:rsidR="00000000" w:rsidDel="00000000" w:rsidP="00000000" w:rsidRDefault="00000000" w:rsidRPr="00000000" w14:paraId="0000000D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566.9291338582677"/>
        <w:jc w:val="center"/>
        <w:rPr>
          <w:rFonts w:ascii="EB Garamond" w:cs="EB Garamond" w:eastAsia="EB Garamond" w:hAnsi="EB Garamond"/>
          <w:b w:val="1"/>
          <w:sz w:val="37"/>
          <w:szCs w:val="37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7"/>
          <w:szCs w:val="37"/>
          <w:rtl w:val="0"/>
        </w:rPr>
        <w:t xml:space="preserve">Diferencias entre la investigación cuantitativa y cualitativa</w:t>
      </w:r>
    </w:p>
    <w:p w:rsidR="00000000" w:rsidDel="00000000" w:rsidP="00000000" w:rsidRDefault="00000000" w:rsidRPr="00000000" w14:paraId="00000016">
      <w:pPr>
        <w:ind w:hanging="566.9291338582677"/>
        <w:jc w:val="center"/>
        <w:rPr>
          <w:rFonts w:ascii="EB Garamond" w:cs="EB Garamond" w:eastAsia="EB Garamond" w:hAnsi="EB Garamond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5b9c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Investigación Cuantitativa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5b9c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Investigación Cualitativa</w:t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Trabaja con datos numéricos </w:t>
            </w:r>
            <w:r w:rsidDel="00000000" w:rsidR="00000000" w:rsidRPr="00000000">
              <w:rPr>
                <w:vertAlign w:val="subscript"/>
                <w:rtl w:val="0"/>
              </w:rPr>
              <w:t xml:space="preserve">[2]</w:t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Trabaja con cualidades </w:t>
            </w:r>
            <w:r w:rsidDel="00000000" w:rsidR="00000000" w:rsidRPr="00000000">
              <w:rPr>
                <w:vertAlign w:val="subscript"/>
                <w:rtl w:val="0"/>
              </w:rPr>
              <w:t xml:space="preserve">[2]</w:t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Generalizable </w:t>
            </w:r>
            <w:r w:rsidDel="00000000" w:rsidR="00000000" w:rsidRPr="00000000">
              <w:rPr>
                <w:vertAlign w:val="subscript"/>
                <w:rtl w:val="0"/>
              </w:rPr>
              <w:t xml:space="preserve">[1]</w:t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No generalizable </w:t>
            </w:r>
            <w:r w:rsidDel="00000000" w:rsidR="00000000" w:rsidRPr="00000000">
              <w:rPr>
                <w:vertAlign w:val="subscript"/>
                <w:rtl w:val="0"/>
              </w:rPr>
              <w:t xml:space="preserve">[1]</w:t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Orientada al resultado </w:t>
            </w:r>
            <w:r w:rsidDel="00000000" w:rsidR="00000000" w:rsidRPr="00000000">
              <w:rPr>
                <w:vertAlign w:val="subscript"/>
                <w:rtl w:val="0"/>
              </w:rPr>
              <w:t xml:space="preserve">[1]</w:t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Orientada al proceso </w:t>
            </w:r>
            <w:r w:rsidDel="00000000" w:rsidR="00000000" w:rsidRPr="00000000">
              <w:rPr>
                <w:vertAlign w:val="subscript"/>
                <w:rtl w:val="0"/>
              </w:rPr>
              <w:t xml:space="preserve">[1]</w:t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Sigue un proceso organizado y riguroso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 proceso es flexible, es decir, varía en cada estudio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 el razonamiento deductivo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 el razonamiento inductivo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problema de investigación es muy específico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problema de investigación no es tan  específico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 meta principal es probar hipótesis, la formulación y demostrar teorías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prueban hipótesis, estas se generan durante el proceso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Muestreo aleatorio: muestra representativa grande </w:t>
            </w:r>
            <w:r w:rsidDel="00000000" w:rsidR="00000000" w:rsidRPr="00000000">
              <w:rPr>
                <w:vertAlign w:val="subscript"/>
                <w:rtl w:val="0"/>
              </w:rPr>
              <w:t xml:space="preserve">[2]</w:t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Muestreo selectivo: muestra pequeña </w:t>
            </w:r>
            <w:r w:rsidDel="00000000" w:rsidR="00000000" w:rsidRPr="00000000">
              <w:rPr>
                <w:vertAlign w:val="subscript"/>
                <w:rtl w:val="0"/>
              </w:rPr>
              <w:t xml:space="preserve">[2]</w:t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estudios se fundamentan en la teoría e investigaciones previas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estudios se fundamentan en los antecedentes y en sí mismos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utiliza para consolidar hipótesis y establecer patrones de comportamiento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utiliza para que el investigador forme sus creencias propias sobre lo estudiado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centran en los datos medibles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ef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centra en las experiencias del investigador y los participantes </w:t>
            </w:r>
            <w:r w:rsidDel="00000000" w:rsidR="00000000" w:rsidRPr="00000000">
              <w:rPr>
                <w:vertAlign w:val="sub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Recolección de datos: Observación no participativa, entrevistas formales y organización de cuestionarios </w:t>
            </w:r>
            <w:r w:rsidDel="00000000" w:rsidR="00000000" w:rsidRPr="00000000">
              <w:rPr>
                <w:vertAlign w:val="subscript"/>
                <w:rtl w:val="0"/>
              </w:rPr>
              <w:t xml:space="preserve">[4]</w:t>
            </w:r>
          </w:p>
        </w:tc>
        <w:tc>
          <w:tcPr>
            <w:shd w:fill="d3d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Recolección de datos: recolección de documentos, entrevistas informales y observación participativa </w:t>
            </w:r>
            <w:r w:rsidDel="00000000" w:rsidR="00000000" w:rsidRPr="00000000">
              <w:rPr>
                <w:vertAlign w:val="subscript"/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hanging="360"/>
        <w:jc w:val="both"/>
        <w:rPr>
          <w:sz w:val="21"/>
          <w:szCs w:val="21"/>
        </w:rPr>
      </w:pPr>
      <w:bookmarkStart w:colFirst="0" w:colLast="0" w:name="_f790r5iqkk6r" w:id="0"/>
      <w:bookmarkEnd w:id="0"/>
      <w:r w:rsidDel="00000000" w:rsidR="00000000" w:rsidRPr="00000000">
        <w:rPr>
          <w:color w:val="000000"/>
          <w:sz w:val="21"/>
          <w:szCs w:val="21"/>
          <w:rtl w:val="0"/>
        </w:rPr>
        <w:t xml:space="preserve">González López, Juan Luis, &amp; Ruiz Hernández, Paloma. (2011). Investigación cualitativa versus cuantitativa: ¿dicotomía metodológica o ideológica?.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Index de Enfermería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(3), 189-193. </w:t>
      </w:r>
      <w:hyperlink r:id="rId8">
        <w:r w:rsidDel="00000000" w:rsidR="00000000" w:rsidRPr="00000000">
          <w:rPr>
            <w:color w:val="555555"/>
            <w:sz w:val="21"/>
            <w:szCs w:val="21"/>
            <w:rtl w:val="0"/>
          </w:rPr>
          <w:t xml:space="preserve">https://dx.doi.org/10.4321/S1132-12962011000200011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Diferencia entre investigación cuantitativa e investigación cualitativa. (2022). Retrieved 23 September 2022, from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https://www.diferenciador.com/investigacion-cuantitativa-e-investigacion-cualitativa/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Hernández Sampieri, R., &amp; Mendoza Torres, C. P. (2018). Capítulo 1. Las tres rutas de la investigación científica: Enfoques cuantitativo, cualitativo y mixto. In </w:t>
      </w:r>
      <w:r w:rsidDel="00000000" w:rsidR="00000000" w:rsidRPr="00000000">
        <w:rPr>
          <w:i w:val="1"/>
          <w:sz w:val="21"/>
          <w:szCs w:val="21"/>
          <w:rtl w:val="0"/>
        </w:rPr>
        <w:t xml:space="preserve">Metodología de la investigación : las rutas cuantitativa, cualitativa y mixta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De Pelekais, C. (2000). Métodos cuantitativos y cualitativos: diferencias y tendencias.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Telos: Revista de Estudios Interdisciplinarios en Ciencias Sociales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(2), 347-352.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diferenciador.com/investigacion-cuantitativa-e-investigacion-cualitativ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x.doi.org/10.4321/S1132-129620110002000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DayAccessed>23</b:DayAccessed>
    <b:Year>2002</b:Year>
    <b:SourceType>DocumentFromInternetSite</b:SourceType>
    <b:URL>https://www.fisterra.com/formacion/metodologia-investigacion/investigacion-cuantitativa-cualitativa/</b:URL>
    <b:Title>Guía: Investigación cuantitativa y cualitativa</b:Title>
    <b:InternetSiteTitle>Fisterra</b:InternetSiteTitle>
    <b:MonthAccessed>September</b:MonthAccessed>
    <b:YearAccessed>2022</b:YearAccessed>
    <b:Gdcea>{"AccessedType":"Website"}</b:Gdcea>
    <b:Author>
      <b:Author>
        <b:NameList>
          <b:Person>
            <b:First>Pita</b:First>
            <b:Last>Fernández</b:Last>
          </b:Person>
          <b:Person>
            <b:First>Pértegas</b:First>
            <b:Last>Díaz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