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CA" w:rsidRDefault="006B6DCA" w:rsidP="00742EE1">
      <w:pPr>
        <w:spacing w:line="360" w:lineRule="auto"/>
        <w:rPr>
          <w:rFonts w:ascii="Times New Roman" w:hAnsi="Times New Roman" w:cs="Times New Roman"/>
          <w:sz w:val="24"/>
          <w:szCs w:val="24"/>
        </w:rPr>
      </w:pPr>
      <w:r>
        <w:rPr>
          <w:rFonts w:ascii="Times New Roman" w:hAnsi="Times New Roman" w:cs="Times New Roman"/>
          <w:sz w:val="24"/>
          <w:szCs w:val="24"/>
        </w:rPr>
        <w:t>Bryn Loftness</w:t>
      </w:r>
    </w:p>
    <w:p w:rsidR="006B6DCA" w:rsidRDefault="006B6DCA" w:rsidP="00742EE1">
      <w:pPr>
        <w:spacing w:line="360" w:lineRule="auto"/>
        <w:rPr>
          <w:rFonts w:ascii="Times New Roman" w:hAnsi="Times New Roman" w:cs="Times New Roman"/>
          <w:sz w:val="24"/>
          <w:szCs w:val="24"/>
        </w:rPr>
      </w:pPr>
      <w:r>
        <w:rPr>
          <w:rFonts w:ascii="Times New Roman" w:hAnsi="Times New Roman" w:cs="Times New Roman"/>
          <w:sz w:val="24"/>
          <w:szCs w:val="24"/>
        </w:rPr>
        <w:t>ENGL 112</w:t>
      </w:r>
    </w:p>
    <w:p w:rsidR="006B6DCA" w:rsidRPr="006B6DCA" w:rsidRDefault="006B6DCA" w:rsidP="00742EE1">
      <w:pPr>
        <w:spacing w:line="360" w:lineRule="auto"/>
        <w:rPr>
          <w:rFonts w:ascii="Times New Roman" w:hAnsi="Times New Roman" w:cs="Times New Roman"/>
          <w:sz w:val="24"/>
          <w:szCs w:val="24"/>
        </w:rPr>
      </w:pPr>
      <w:r>
        <w:rPr>
          <w:rFonts w:ascii="Times New Roman" w:hAnsi="Times New Roman" w:cs="Times New Roman"/>
          <w:sz w:val="24"/>
          <w:szCs w:val="24"/>
        </w:rPr>
        <w:t>10/18/2017</w:t>
      </w:r>
    </w:p>
    <w:p w:rsidR="006B6DCA" w:rsidRPr="006B6DCA" w:rsidRDefault="006B6DCA" w:rsidP="00742EE1">
      <w:pPr>
        <w:spacing w:after="240" w:line="480" w:lineRule="auto"/>
        <w:jc w:val="center"/>
        <w:rPr>
          <w:rFonts w:ascii="Times New Roman" w:hAnsi="Times New Roman" w:cs="Times New Roman"/>
          <w:b/>
          <w:sz w:val="24"/>
          <w:szCs w:val="24"/>
          <w:u w:val="single"/>
        </w:rPr>
      </w:pPr>
      <w:r w:rsidRPr="006B6DCA">
        <w:rPr>
          <w:rFonts w:ascii="Times New Roman" w:hAnsi="Times New Roman" w:cs="Times New Roman"/>
          <w:b/>
          <w:sz w:val="24"/>
          <w:szCs w:val="24"/>
          <w:u w:val="single"/>
        </w:rPr>
        <w:t>Annotated Bibliography</w:t>
      </w:r>
    </w:p>
    <w:p w:rsidR="00A73575" w:rsidRPr="00CF77CC" w:rsidRDefault="00A73575" w:rsidP="00742EE1">
      <w:pPr>
        <w:spacing w:line="480" w:lineRule="auto"/>
        <w:ind w:left="720" w:hanging="720"/>
        <w:rPr>
          <w:rFonts w:ascii="Times New Roman" w:hAnsi="Times New Roman" w:cs="Times New Roman"/>
          <w:sz w:val="24"/>
          <w:szCs w:val="24"/>
        </w:rPr>
      </w:pPr>
      <w:proofErr w:type="spellStart"/>
      <w:r w:rsidRPr="00CF77CC">
        <w:rPr>
          <w:rFonts w:ascii="Times New Roman" w:hAnsi="Times New Roman" w:cs="Times New Roman"/>
          <w:sz w:val="24"/>
          <w:szCs w:val="24"/>
        </w:rPr>
        <w:t>Scholliers</w:t>
      </w:r>
      <w:proofErr w:type="spellEnd"/>
      <w:r w:rsidRPr="00CF77CC">
        <w:rPr>
          <w:rFonts w:ascii="Times New Roman" w:hAnsi="Times New Roman" w:cs="Times New Roman"/>
          <w:sz w:val="24"/>
          <w:szCs w:val="24"/>
        </w:rPr>
        <w:t>, Peter. "Convenience Foods. What, Why, and When." </w:t>
      </w:r>
      <w:r w:rsidRPr="00CF77CC">
        <w:rPr>
          <w:rFonts w:ascii="Times New Roman" w:hAnsi="Times New Roman" w:cs="Times New Roman"/>
          <w:i/>
          <w:iCs/>
          <w:sz w:val="24"/>
          <w:szCs w:val="24"/>
        </w:rPr>
        <w:t>Appetite</w:t>
      </w:r>
      <w:r w:rsidRPr="00CF77CC">
        <w:rPr>
          <w:rFonts w:ascii="Times New Roman" w:hAnsi="Times New Roman" w:cs="Times New Roman"/>
          <w:sz w:val="24"/>
          <w:szCs w:val="24"/>
        </w:rPr>
        <w:t>, vol. 94, Nov. 2015, pp. 2-6.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doi:10.1016/j.appet.2015.02.017.</w:t>
      </w:r>
    </w:p>
    <w:p w:rsidR="00A73575" w:rsidRDefault="00A73575" w:rsidP="00742EE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Peter </w:t>
      </w:r>
      <w:proofErr w:type="spellStart"/>
      <w:r>
        <w:rPr>
          <w:rFonts w:ascii="Times New Roman" w:hAnsi="Times New Roman" w:cs="Times New Roman"/>
          <w:sz w:val="24"/>
          <w:szCs w:val="24"/>
          <w:bdr w:val="none" w:sz="0" w:space="0" w:color="auto" w:frame="1"/>
        </w:rPr>
        <w:t>Scholliers</w:t>
      </w:r>
      <w:proofErr w:type="spellEnd"/>
      <w:r>
        <w:rPr>
          <w:rFonts w:ascii="Times New Roman" w:hAnsi="Times New Roman" w:cs="Times New Roman"/>
          <w:sz w:val="24"/>
          <w:szCs w:val="24"/>
          <w:bdr w:val="none" w:sz="0" w:space="0" w:color="auto" w:frame="1"/>
        </w:rPr>
        <w:t xml:space="preserve"> highlights the past and present studies of convenience foods—an umbrella term which comprises eating in, the meal, as well as industrially manufactured food— in this cohesive article. He uses Google Scholar to map the usage of several convenience-food related key terms and phrases since the conception of convenience dining around the 1950s. This article is prepared on behalf of FOST, the Social and Cultural Food Studies unit out of Vrije Universiteit Brussel (VUB), a group which “studies all aspects of food since the late eighteenth century and up to today.” (</w:t>
      </w:r>
      <w:proofErr w:type="spellStart"/>
      <w:r>
        <w:rPr>
          <w:rFonts w:ascii="Times New Roman" w:hAnsi="Times New Roman" w:cs="Times New Roman"/>
          <w:sz w:val="24"/>
          <w:szCs w:val="24"/>
          <w:bdr w:val="none" w:sz="0" w:space="0" w:color="auto" w:frame="1"/>
        </w:rPr>
        <w:t>Scholliers</w:t>
      </w:r>
      <w:proofErr w:type="spellEnd"/>
      <w:r>
        <w:rPr>
          <w:rFonts w:ascii="Times New Roman" w:hAnsi="Times New Roman" w:cs="Times New Roman"/>
          <w:sz w:val="24"/>
          <w:szCs w:val="24"/>
          <w:bdr w:val="none" w:sz="0" w:space="0" w:color="auto" w:frame="1"/>
        </w:rPr>
        <w:t xml:space="preserve">) Taking this into account, I feel confident using this source as a primary resource for a lot of my fast-food historical information. </w:t>
      </w:r>
    </w:p>
    <w:p w:rsidR="002C01B0" w:rsidRDefault="002C01B0" w:rsidP="00742EE1">
      <w:pPr>
        <w:spacing w:line="480" w:lineRule="auto"/>
      </w:pPr>
    </w:p>
    <w:p w:rsidR="00A73575" w:rsidRPr="00CF77CC" w:rsidRDefault="00A73575" w:rsidP="00742EE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Fraterrigo, Elizabeth. </w:t>
      </w:r>
      <w:r w:rsidRPr="00CF77CC">
        <w:rPr>
          <w:rFonts w:ascii="Times New Roman" w:hAnsi="Times New Roman" w:cs="Times New Roman"/>
          <w:i/>
          <w:iCs/>
          <w:sz w:val="24"/>
          <w:szCs w:val="24"/>
        </w:rPr>
        <w:t>Playboy and the Making of the Good Life in Modern America</w:t>
      </w:r>
      <w:r w:rsidRPr="00CF77CC">
        <w:rPr>
          <w:rFonts w:ascii="Times New Roman" w:hAnsi="Times New Roman" w:cs="Times New Roman"/>
          <w:sz w:val="24"/>
          <w:szCs w:val="24"/>
        </w:rPr>
        <w:t>. Oxford University Press, 2009.</w:t>
      </w:r>
    </w:p>
    <w:p w:rsidR="00A73575" w:rsidRDefault="00A73575" w:rsidP="00742EE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In this book, Elizabeth Fraterrigo provides a breadth of information and analysis into the 1950s founded, but still ever-popular magazine, Playboy. She discusses the magazines early days, as well as mentions and briefly elaborates upon the short airing Playboy TV show, “Playboy’s Penthouse.” Her main claims follow the general notion that Playboy redefined the successful—and “good life”— for men in America during the 1950s and for all succeeding generations as well. The portrayals in the magazine blurred the gender roles/authorities and helped establish the uneven, and inappropriately enforced hierarchy within society. Playboy displayed a world “</w:t>
      </w:r>
      <w:r w:rsidRPr="00247618">
        <w:rPr>
          <w:rFonts w:ascii="Times New Roman" w:hAnsi="Times New Roman" w:cs="Times New Roman"/>
          <w:sz w:val="24"/>
          <w:szCs w:val="24"/>
          <w:bdr w:val="none" w:sz="0" w:space="0" w:color="auto" w:frame="1"/>
        </w:rPr>
        <w:t xml:space="preserve">in </w:t>
      </w:r>
      <w:r w:rsidRPr="00247618">
        <w:rPr>
          <w:rFonts w:ascii="Times New Roman" w:hAnsi="Times New Roman" w:cs="Times New Roman"/>
          <w:sz w:val="24"/>
          <w:szCs w:val="24"/>
          <w:bdr w:val="none" w:sz="0" w:space="0" w:color="auto" w:frame="1"/>
        </w:rPr>
        <w:lastRenderedPageBreak/>
        <w:t>which expensive goods and sexually available women were plentiful, obligations were few, and if one worked hard enough, one could enjoy abundant leisure and consumption.</w:t>
      </w:r>
      <w:r>
        <w:rPr>
          <w:rFonts w:ascii="Times New Roman" w:hAnsi="Times New Roman" w:cs="Times New Roman"/>
          <w:sz w:val="24"/>
          <w:szCs w:val="24"/>
          <w:bdr w:val="none" w:sz="0" w:space="0" w:color="auto" w:frame="1"/>
        </w:rPr>
        <w:t>” (Fraterrigo) The conclusions made in this book will help me to demonstrate my claims about the shift in the mindset to mass consumption and immediate gratification through the avenue of the advertisement of sex and leisure.</w:t>
      </w:r>
    </w:p>
    <w:p w:rsidR="002C01B0" w:rsidRDefault="002C01B0" w:rsidP="00742EE1">
      <w:pPr>
        <w:spacing w:line="480" w:lineRule="auto"/>
        <w:rPr>
          <w:rFonts w:ascii="Times New Roman" w:hAnsi="Times New Roman" w:cs="Times New Roman"/>
          <w:sz w:val="24"/>
          <w:szCs w:val="24"/>
          <w:bdr w:val="none" w:sz="0" w:space="0" w:color="auto" w:frame="1"/>
        </w:rPr>
      </w:pPr>
    </w:p>
    <w:p w:rsidR="00A73575" w:rsidRPr="00CF77CC" w:rsidRDefault="00A73575" w:rsidP="00742EE1">
      <w:pPr>
        <w:spacing w:line="480" w:lineRule="auto"/>
        <w:ind w:left="720" w:hanging="720"/>
        <w:rPr>
          <w:rFonts w:ascii="Times New Roman" w:hAnsi="Times New Roman" w:cs="Times New Roman"/>
          <w:sz w:val="24"/>
          <w:szCs w:val="24"/>
        </w:rPr>
      </w:pPr>
      <w:proofErr w:type="spellStart"/>
      <w:r w:rsidRPr="00CF77CC">
        <w:rPr>
          <w:rFonts w:ascii="Times New Roman" w:hAnsi="Times New Roman" w:cs="Times New Roman"/>
          <w:sz w:val="24"/>
          <w:szCs w:val="24"/>
        </w:rPr>
        <w:t>Jundt</w:t>
      </w:r>
      <w:proofErr w:type="spellEnd"/>
      <w:r w:rsidRPr="00CF77CC">
        <w:rPr>
          <w:rFonts w:ascii="Times New Roman" w:hAnsi="Times New Roman" w:cs="Times New Roman"/>
          <w:sz w:val="24"/>
          <w:szCs w:val="24"/>
        </w:rPr>
        <w:t>, Thomas. </w:t>
      </w:r>
      <w:r w:rsidRPr="00CF77CC">
        <w:rPr>
          <w:rFonts w:ascii="Times New Roman" w:hAnsi="Times New Roman" w:cs="Times New Roman"/>
          <w:i/>
          <w:iCs/>
          <w:sz w:val="24"/>
          <w:szCs w:val="24"/>
        </w:rPr>
        <w:t>Greening the Red, White, and Blue: the Bomb, Big Business, and Consumer Resistance in Postwar America</w:t>
      </w:r>
      <w:r w:rsidRPr="00CF77CC">
        <w:rPr>
          <w:rFonts w:ascii="Times New Roman" w:hAnsi="Times New Roman" w:cs="Times New Roman"/>
          <w:sz w:val="24"/>
          <w:szCs w:val="24"/>
        </w:rPr>
        <w:t>. Oxford University Press, 2014. ISBN: 9780199378562</w:t>
      </w:r>
    </w:p>
    <w:p w:rsidR="00A73575" w:rsidRPr="00881B4B" w:rsidRDefault="00A73575" w:rsidP="00742EE1">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Thomas </w:t>
      </w:r>
      <w:proofErr w:type="spellStart"/>
      <w:r>
        <w:rPr>
          <w:rFonts w:ascii="Times New Roman" w:hAnsi="Times New Roman" w:cs="Times New Roman"/>
          <w:sz w:val="24"/>
          <w:szCs w:val="24"/>
          <w:bdr w:val="none" w:sz="0" w:space="0" w:color="auto" w:frame="1"/>
        </w:rPr>
        <w:t>Jundt</w:t>
      </w:r>
      <w:proofErr w:type="spellEnd"/>
      <w:r>
        <w:rPr>
          <w:rFonts w:ascii="Times New Roman" w:hAnsi="Times New Roman" w:cs="Times New Roman"/>
          <w:sz w:val="24"/>
          <w:szCs w:val="24"/>
          <w:bdr w:val="none" w:sz="0" w:space="0" w:color="auto" w:frame="1"/>
        </w:rPr>
        <w:t xml:space="preserve"> illustrates the beginnings of Environmentalism and its roots in mid-20</w:t>
      </w:r>
      <w:r w:rsidRPr="00CD6B59">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century American citizen defiance against the emerging big-business/consumerist culture. The frequency of the federal government during the previous generations to put full confidence in economic growth as the nation’s primary goal regardless of environmental or human-health repercussions, compounded with the steady creeping rise of powerful</w:t>
      </w:r>
      <w:r w:rsidRPr="005D2789">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corporations started to cause deep-rooted tensions to arise among some members of the population—thus forming the Environmentalists. Though my paper will not be focusing on the neglect of the environment by large companies and the government, it does center on the public’s reaction to the shift in consumer attitudes. These attitudes are the less popular of the advertised viewpoints because companies didn’t want to show people defying the new shift to consumerism. I will be able to apply the information provided in this exposition about the Environmentalists’ defiant viewpoint and reactions to and of big business and mass consumption.</w:t>
      </w:r>
    </w:p>
    <w:p w:rsidR="00742EE1" w:rsidRDefault="00742EE1" w:rsidP="00742EE1">
      <w:pPr>
        <w:spacing w:line="480" w:lineRule="auto"/>
        <w:rPr>
          <w:rFonts w:ascii="Times New Roman" w:hAnsi="Times New Roman" w:cs="Times New Roman"/>
          <w:sz w:val="24"/>
          <w:szCs w:val="24"/>
          <w:bdr w:val="none" w:sz="0" w:space="0" w:color="auto" w:frame="1"/>
        </w:rPr>
      </w:pPr>
    </w:p>
    <w:p w:rsidR="00A73575" w:rsidRPr="00A82632" w:rsidRDefault="00A73575" w:rsidP="00742EE1">
      <w:pPr>
        <w:spacing w:line="480" w:lineRule="auto"/>
        <w:ind w:left="720" w:hanging="720"/>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Mandell, Lewis, and Sarah Holmes. “Diners Club Begins a New Industry.” </w:t>
      </w:r>
      <w:r w:rsidR="00881B4B">
        <w:rPr>
          <w:rFonts w:ascii="Times New Roman" w:hAnsi="Times New Roman" w:cs="Times New Roman"/>
          <w:i/>
          <w:iCs/>
          <w:sz w:val="24"/>
          <w:szCs w:val="24"/>
          <w:bdr w:val="none" w:sz="0" w:space="0" w:color="auto" w:frame="1"/>
        </w:rPr>
        <w:t xml:space="preserve">Salem Press </w:t>
      </w:r>
      <w:r w:rsidRPr="00CF77CC">
        <w:rPr>
          <w:rFonts w:ascii="Times New Roman" w:hAnsi="Times New Roman" w:cs="Times New Roman"/>
          <w:i/>
          <w:iCs/>
          <w:sz w:val="24"/>
          <w:szCs w:val="24"/>
          <w:bdr w:val="none" w:sz="0" w:space="0" w:color="auto" w:frame="1"/>
        </w:rPr>
        <w:t>Encyclopedia</w:t>
      </w:r>
      <w:r w:rsidRPr="00CF77CC">
        <w:rPr>
          <w:rFonts w:ascii="Times New Roman" w:hAnsi="Times New Roman" w:cs="Times New Roman"/>
          <w:sz w:val="24"/>
          <w:szCs w:val="24"/>
          <w:bdr w:val="none" w:sz="0" w:space="0" w:color="auto" w:frame="1"/>
        </w:rPr>
        <w:t>, Jan. 2017. </w:t>
      </w:r>
      <w:r w:rsidRPr="00CF77CC">
        <w:rPr>
          <w:rFonts w:ascii="Times New Roman" w:hAnsi="Times New Roman" w:cs="Times New Roman"/>
          <w:i/>
          <w:iCs/>
          <w:sz w:val="24"/>
          <w:szCs w:val="24"/>
          <w:bdr w:val="none" w:sz="0" w:space="0" w:color="auto" w:frame="1"/>
        </w:rPr>
        <w:t>EBSCOhost</w:t>
      </w:r>
      <w:r w:rsidRPr="00CF77CC">
        <w:rPr>
          <w:rFonts w:ascii="Times New Roman" w:hAnsi="Times New Roman" w:cs="Times New Roman"/>
          <w:sz w:val="24"/>
          <w:szCs w:val="24"/>
          <w:bdr w:val="none" w:sz="0" w:space="0" w:color="auto" w:frame="1"/>
        </w:rPr>
        <w:t xml:space="preserve">, </w:t>
      </w:r>
      <w:r w:rsidRPr="00CF77CC">
        <w:rPr>
          <w:rFonts w:ascii="Times New Roman" w:hAnsi="Times New Roman" w:cs="Times New Roman"/>
          <w:sz w:val="24"/>
          <w:szCs w:val="24"/>
          <w:bdr w:val="none" w:sz="0" w:space="0" w:color="auto" w:frame="1"/>
        </w:rPr>
        <w:lastRenderedPageBreak/>
        <w:t>eds.b.ebscohost.com/eds/detail/detail?vid=0&amp;sid=e3ccafde-7df3-419e-b303-e3bb32f02e7d%40sessionmgr102&amp;bdata=JnNpdGU9ZWRzLWxpdmUmc2NvcGU9</w:t>
      </w:r>
      <w:r>
        <w:rPr>
          <w:rFonts w:ascii="Times New Roman" w:hAnsi="Times New Roman" w:cs="Times New Roman"/>
          <w:sz w:val="24"/>
          <w:szCs w:val="24"/>
          <w:bdr w:val="none" w:sz="0" w:space="0" w:color="auto" w:frame="1"/>
        </w:rPr>
        <w:t>c2l0ZQ%3d%3d#db=ers&amp;AN=89314354.</w:t>
      </w:r>
    </w:p>
    <w:p w:rsidR="00A73575" w:rsidRPr="00CF77CC" w:rsidRDefault="00A73575" w:rsidP="00742EE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Lewis Mandell and Sarah Holmes explicate the origins of the modern day credit card. They also detail how it impacted the decade of its founding, the 1950s, as well as the following decades. It discusses the concepts roots in the dining industry </w:t>
      </w:r>
      <w:r w:rsidR="00EE726B">
        <w:rPr>
          <w:rFonts w:ascii="Times New Roman" w:hAnsi="Times New Roman" w:cs="Times New Roman"/>
          <w:sz w:val="24"/>
          <w:szCs w:val="24"/>
          <w:bdr w:val="none" w:sz="0" w:space="0" w:color="auto" w:frame="1"/>
        </w:rPr>
        <w:t>in addition to</w:t>
      </w:r>
      <w:bookmarkStart w:id="0" w:name="_GoBack"/>
      <w:bookmarkEnd w:id="0"/>
      <w:r>
        <w:rPr>
          <w:rFonts w:ascii="Times New Roman" w:hAnsi="Times New Roman" w:cs="Times New Roman"/>
          <w:sz w:val="24"/>
          <w:szCs w:val="24"/>
          <w:bdr w:val="none" w:sz="0" w:space="0" w:color="auto" w:frame="1"/>
        </w:rPr>
        <w:t xml:space="preserve"> its speedy adoption throughout other industries such as clothing, entertainment, and electronic amenities. They provide consistent documentation of their all their sources from all well-known/reliable publishers. Some of which included (but were not limited to) the Ann Arbor Institute for Social Research, Forbes, MIT Press, and Consumer Reports. The information provided in this article will help me to illustrate the beginnings of, what some might call, the Card of Consumerism –a concept essential for an exposition describing the consumer culture and mass consumption in America.</w:t>
      </w:r>
    </w:p>
    <w:p w:rsidR="002C01B0" w:rsidRDefault="002C01B0" w:rsidP="00742EE1">
      <w:pPr>
        <w:spacing w:line="480" w:lineRule="auto"/>
        <w:rPr>
          <w:rFonts w:ascii="Times New Roman" w:hAnsi="Times New Roman" w:cs="Times New Roman"/>
          <w:sz w:val="24"/>
          <w:szCs w:val="24"/>
          <w:bdr w:val="none" w:sz="0" w:space="0" w:color="auto" w:frame="1"/>
        </w:rPr>
      </w:pPr>
    </w:p>
    <w:p w:rsidR="00A73575" w:rsidRPr="00CF77CC" w:rsidRDefault="00A73575" w:rsidP="00742EE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Mock, Erin Lee. “Getting Comfortable: Sex, Reading, and Postwar Adjustment in 1950s Playboy.” </w:t>
      </w:r>
      <w:r w:rsidRPr="00CF77CC">
        <w:rPr>
          <w:rFonts w:ascii="Times New Roman" w:hAnsi="Times New Roman" w:cs="Times New Roman"/>
          <w:i/>
          <w:iCs/>
          <w:sz w:val="24"/>
          <w:szCs w:val="24"/>
        </w:rPr>
        <w:t>Journal of Popular Culture</w:t>
      </w:r>
      <w:r w:rsidRPr="00CF77CC">
        <w:rPr>
          <w:rFonts w:ascii="Times New Roman" w:hAnsi="Times New Roman" w:cs="Times New Roman"/>
          <w:sz w:val="24"/>
          <w:szCs w:val="24"/>
        </w:rPr>
        <w:t>, Apr. 2017, pp. 363–388., doi:10.1111/jpcu.12542.</w:t>
      </w:r>
    </w:p>
    <w:p w:rsidR="00A73575" w:rsidRDefault="00A73575" w:rsidP="00742EE1">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The introduction of the explicit material within Playboy brought up several controversies of the appropriateness of its place within day-to-day society. People were now casually viewing advertisements that were flashing women who were literally flashing the camera—this phenomenon was bizarre and unparalleled in society up to the time Playboy was released. Erin Lee Mock discusses this transformation of acceptance and appropriateness of explicit material within the post-war society of the 1950s. She focuses her argument on soldiers returning from home and their re-entrance into this shifting atmosphere that was modern mid-20</w:t>
      </w:r>
      <w:r w:rsidRPr="001766AE">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century America. For the purpose of supporting my argument, I will be analyzing her claims about the </w:t>
      </w:r>
      <w:r>
        <w:rPr>
          <w:rFonts w:ascii="Times New Roman" w:hAnsi="Times New Roman" w:cs="Times New Roman"/>
          <w:sz w:val="24"/>
          <w:szCs w:val="24"/>
          <w:bdr w:val="none" w:sz="0" w:space="0" w:color="auto" w:frame="1"/>
        </w:rPr>
        <w:lastRenderedPageBreak/>
        <w:t xml:space="preserve">demand for the content within Playboy and how this influenced the backing of immediate gratification and free-will mass consumption of whatever one might want, including sex and casual pleasure, which was new to this era.  </w:t>
      </w:r>
    </w:p>
    <w:p w:rsidR="002C01B0" w:rsidRDefault="002C01B0" w:rsidP="00742EE1">
      <w:pPr>
        <w:spacing w:line="480" w:lineRule="auto"/>
        <w:rPr>
          <w:rFonts w:ascii="Times New Roman" w:hAnsi="Times New Roman" w:cs="Times New Roman"/>
          <w:sz w:val="24"/>
          <w:szCs w:val="24"/>
          <w:bdr w:val="none" w:sz="0" w:space="0" w:color="auto" w:frame="1"/>
        </w:rPr>
      </w:pPr>
    </w:p>
    <w:p w:rsidR="003D429A" w:rsidRPr="00CF77CC" w:rsidRDefault="003D429A" w:rsidP="00742EE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Logemann, Jan. “Different Paths to Mass Consumption: Consumer Credit in the United States and West Germany during the 1950s and '60s.” </w:t>
      </w:r>
      <w:r w:rsidRPr="00CF77CC">
        <w:rPr>
          <w:rFonts w:ascii="Times New Roman" w:hAnsi="Times New Roman" w:cs="Times New Roman"/>
          <w:i/>
          <w:iCs/>
          <w:sz w:val="24"/>
          <w:szCs w:val="24"/>
        </w:rPr>
        <w:t>Journal of Social History</w:t>
      </w:r>
      <w:r w:rsidRPr="00CF77CC">
        <w:rPr>
          <w:rFonts w:ascii="Times New Roman" w:hAnsi="Times New Roman" w:cs="Times New Roman"/>
          <w:sz w:val="24"/>
          <w:szCs w:val="24"/>
        </w:rPr>
        <w:t>, vol. 41, no. 3, 2008, pp. 525–559. </w:t>
      </w:r>
      <w:r w:rsidRPr="00CF77CC">
        <w:rPr>
          <w:rFonts w:ascii="Times New Roman" w:hAnsi="Times New Roman" w:cs="Times New Roman"/>
          <w:iCs/>
          <w:sz w:val="24"/>
          <w:szCs w:val="24"/>
        </w:rPr>
        <w:t>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eds.a.ebscohost.com/eds/detail/detail?vid=3&amp;sid=a7cbe8e2-cb3f-4321-bcd5-00e2480db11d%40sessionmgr4010&amp;bdata=JnNpdGU9ZWRzLWxpdmUmc2NvcGU9c2l0ZQ%3d%3d#AN=31639604&amp;db=a9h.</w:t>
      </w:r>
    </w:p>
    <w:p w:rsidR="003D429A" w:rsidRPr="00742EE1" w:rsidRDefault="003D429A" w:rsidP="00742EE1">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The topic of mass consumption is referred to but not as frequently specifically addressed within articles and books discussing shifts in American culture over time. Jan Logemann defies these standards in her article, “Different Paths to Mass Consumption: </w:t>
      </w:r>
      <w:r w:rsidRPr="00CF77CC">
        <w:rPr>
          <w:rFonts w:ascii="Times New Roman" w:hAnsi="Times New Roman" w:cs="Times New Roman"/>
          <w:sz w:val="24"/>
          <w:szCs w:val="24"/>
        </w:rPr>
        <w:t>Consumer Credit in the United States and West Germany during the 1950s and '60s.</w:t>
      </w:r>
      <w:r>
        <w:rPr>
          <w:rFonts w:ascii="Times New Roman" w:hAnsi="Times New Roman" w:cs="Times New Roman"/>
          <w:sz w:val="24"/>
          <w:szCs w:val="24"/>
        </w:rPr>
        <w:t xml:space="preserve">” She connects her claims of the exponential rise of mass consumption with the development of </w:t>
      </w:r>
      <w:r>
        <w:rPr>
          <w:rFonts w:ascii="Times New Roman" w:hAnsi="Times New Roman" w:cs="Times New Roman"/>
          <w:sz w:val="24"/>
          <w:szCs w:val="24"/>
          <w:bdr w:val="none" w:sz="0" w:space="0" w:color="auto" w:frame="1"/>
        </w:rPr>
        <w:t xml:space="preserve">consumer credit as well as some of the keynote major events in the 1950s and 1960s. The article reiterates my argument on an incremental scale, seeing as it analyzes the effects </w:t>
      </w:r>
      <w:r>
        <w:rPr>
          <w:rFonts w:ascii="Times New Roman" w:hAnsi="Times New Roman" w:cs="Times New Roman"/>
          <w:sz w:val="24"/>
          <w:szCs w:val="24"/>
          <w:bdr w:val="none" w:sz="0" w:space="0" w:color="auto" w:frame="1"/>
        </w:rPr>
        <w:t xml:space="preserve">of </w:t>
      </w:r>
      <w:r>
        <w:rPr>
          <w:rFonts w:ascii="Times New Roman" w:hAnsi="Times New Roman" w:cs="Times New Roman"/>
          <w:sz w:val="24"/>
          <w:szCs w:val="24"/>
          <w:bdr w:val="none" w:sz="0" w:space="0" w:color="auto" w:frame="1"/>
        </w:rPr>
        <w:t xml:space="preserve">credit, but does not include the influence of the food industry or </w:t>
      </w:r>
      <w:r>
        <w:rPr>
          <w:rFonts w:ascii="Times New Roman" w:hAnsi="Times New Roman" w:cs="Times New Roman"/>
          <w:sz w:val="24"/>
          <w:szCs w:val="24"/>
          <w:bdr w:val="none" w:sz="0" w:space="0" w:color="auto" w:frame="1"/>
        </w:rPr>
        <w:t>the exploitation of sex in Playboy.</w:t>
      </w:r>
      <w:r>
        <w:rPr>
          <w:rFonts w:ascii="Times New Roman" w:hAnsi="Times New Roman" w:cs="Times New Roman"/>
          <w:sz w:val="24"/>
          <w:szCs w:val="24"/>
          <w:bdr w:val="none" w:sz="0" w:space="0" w:color="auto" w:frame="1"/>
        </w:rPr>
        <w:t xml:space="preserve"> Logemann</w:t>
      </w:r>
      <w:r>
        <w:rPr>
          <w:rFonts w:ascii="Times New Roman" w:hAnsi="Times New Roman" w:cs="Times New Roman"/>
          <w:sz w:val="24"/>
          <w:szCs w:val="24"/>
          <w:bdr w:val="none" w:sz="0" w:space="0" w:color="auto" w:frame="1"/>
        </w:rPr>
        <w:t>, in her argument,</w:t>
      </w:r>
      <w:r>
        <w:rPr>
          <w:rFonts w:ascii="Times New Roman" w:hAnsi="Times New Roman" w:cs="Times New Roman"/>
          <w:sz w:val="24"/>
          <w:szCs w:val="24"/>
          <w:bdr w:val="none" w:sz="0" w:space="0" w:color="auto" w:frame="1"/>
        </w:rPr>
        <w:t xml:space="preserve"> also describes the push to consumerism and consumption within West Germany in her paper, however I will be focusing only on the US and its influences. </w:t>
      </w:r>
    </w:p>
    <w:p w:rsidR="002C01B0" w:rsidRDefault="002C01B0" w:rsidP="00742EE1">
      <w:pPr>
        <w:spacing w:line="480" w:lineRule="auto"/>
      </w:pPr>
    </w:p>
    <w:p w:rsidR="003D429A" w:rsidRPr="00CF77CC" w:rsidRDefault="003D429A" w:rsidP="00742EE1">
      <w:pPr>
        <w:spacing w:line="480" w:lineRule="auto"/>
        <w:ind w:left="720" w:hanging="720"/>
        <w:rPr>
          <w:rFonts w:ascii="Times New Roman" w:hAnsi="Times New Roman" w:cs="Times New Roman"/>
          <w:sz w:val="24"/>
          <w:szCs w:val="24"/>
        </w:rPr>
      </w:pPr>
      <w:r w:rsidRPr="00CF77CC">
        <w:rPr>
          <w:rFonts w:ascii="Times New Roman" w:hAnsi="Times New Roman" w:cs="Times New Roman"/>
          <w:sz w:val="24"/>
          <w:szCs w:val="24"/>
        </w:rPr>
        <w:t>Liebman, Roy. "Food Retail Industry." </w:t>
      </w:r>
      <w:r w:rsidRPr="00CF77CC">
        <w:rPr>
          <w:rFonts w:ascii="Times New Roman" w:hAnsi="Times New Roman" w:cs="Times New Roman"/>
          <w:i/>
          <w:iCs/>
          <w:sz w:val="24"/>
          <w:szCs w:val="24"/>
        </w:rPr>
        <w:t>Salem Press Encyclopedia</w:t>
      </w:r>
      <w:r w:rsidRPr="00CF77CC">
        <w:rPr>
          <w:rFonts w:ascii="Times New Roman" w:hAnsi="Times New Roman" w:cs="Times New Roman"/>
          <w:sz w:val="24"/>
          <w:szCs w:val="24"/>
        </w:rPr>
        <w:t>, January 2015.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http://eds.a.ebscohost.com/eds/detail/detail?vid=0&amp;sid=ac5728f4-032e-4d53-a277-</w:t>
      </w:r>
      <w:r w:rsidRPr="00CF77CC">
        <w:rPr>
          <w:rFonts w:ascii="Times New Roman" w:hAnsi="Times New Roman" w:cs="Times New Roman"/>
          <w:sz w:val="24"/>
          <w:szCs w:val="24"/>
        </w:rPr>
        <w:lastRenderedPageBreak/>
        <w:t>f87dc052507f%40sessionmgr4010&amp;bdata=JnNpdGU9ZWRzLWxpdmUmc2NvcGU9c2l0ZQ%3d%3d#AN=89088160&amp;db=ers.</w:t>
      </w:r>
    </w:p>
    <w:p w:rsidR="003D429A" w:rsidRPr="00742EE1" w:rsidRDefault="003D429A" w:rsidP="00742EE1">
      <w:pPr>
        <w:spacing w:line="480"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Roy Liebman summarizes the history, significance, and impact of the retail food industry over time spanning from as early as 1859 to present time. He notes prominent retailers and their influence on the industry and America as a whole. Liebman specifically references several important data figures showing the magnitude of American citizen employment the food industry constituted. Accumulating this information into my argument, my readers will have the ability to better understand the persuasion of the American government and big business to support the spread of the food retail business.</w:t>
      </w:r>
      <w:r w:rsidR="00B12BA3">
        <w:rPr>
          <w:rFonts w:ascii="Times New Roman" w:hAnsi="Times New Roman" w:cs="Times New Roman"/>
          <w:sz w:val="24"/>
          <w:szCs w:val="24"/>
          <w:bdr w:val="none" w:sz="0" w:space="0" w:color="auto" w:frame="1"/>
        </w:rPr>
        <w:t xml:space="preserve"> I will use primarily the data figures and historical context provided in this article as supporting information and background, instead of using it for specific claims referring to mass consumption/immediate gratification.</w:t>
      </w:r>
    </w:p>
    <w:p w:rsidR="003D429A" w:rsidRDefault="003D429A" w:rsidP="00742EE1">
      <w:pPr>
        <w:spacing w:line="480" w:lineRule="auto"/>
      </w:pPr>
    </w:p>
    <w:sectPr w:rsidR="003D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75"/>
    <w:rsid w:val="002C01B0"/>
    <w:rsid w:val="003D429A"/>
    <w:rsid w:val="006B6DCA"/>
    <w:rsid w:val="00742EE1"/>
    <w:rsid w:val="00881B4B"/>
    <w:rsid w:val="00A73575"/>
    <w:rsid w:val="00B12BA3"/>
    <w:rsid w:val="00C44AF1"/>
    <w:rsid w:val="00D76EBE"/>
    <w:rsid w:val="00D97D70"/>
    <w:rsid w:val="00EE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BF86C-C15F-4B2D-A7DD-BFBA4E7D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575"/>
    <w:rPr>
      <w:color w:val="0563C1" w:themeColor="hyperlink"/>
      <w:u w:val="single"/>
    </w:rPr>
  </w:style>
  <w:style w:type="character" w:styleId="FollowedHyperlink">
    <w:name w:val="FollowedHyperlink"/>
    <w:basedOn w:val="DefaultParagraphFont"/>
    <w:uiPriority w:val="99"/>
    <w:semiHidden/>
    <w:unhideWhenUsed/>
    <w:rsid w:val="00A73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12</cp:revision>
  <dcterms:created xsi:type="dcterms:W3CDTF">2017-10-18T00:39:00Z</dcterms:created>
  <dcterms:modified xsi:type="dcterms:W3CDTF">2017-10-18T15:51:00Z</dcterms:modified>
</cp:coreProperties>
</file>