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A312D1" w:rsidRDefault="00FB1BA9" w14:paraId="78F5D14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0669B8EC" wp14:editId="3E74A35C">
            <wp:simplePos x="0" y="0"/>
            <wp:positionH relativeFrom="column">
              <wp:posOffset>2442210</wp:posOffset>
            </wp:positionH>
            <wp:positionV relativeFrom="paragraph">
              <wp:posOffset>3810</wp:posOffset>
            </wp:positionV>
            <wp:extent cx="972820" cy="1148080"/>
            <wp:effectExtent l="0" t="0" r="0" b="0"/>
            <wp:wrapNone/>
            <wp:docPr id="10737418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5585588D">
        <w:rPr/>
        <w:t/>
      </w:r>
    </w:p>
    <w:p w:rsidR="00A312D1" w:rsidRDefault="00A312D1" w14:paraId="0969FFC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428693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FC2E7D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345898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0DB92E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44BCB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AD4F8B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Helvetica Neue" w:hAnsi="Helvetica Neue" w:eastAsia="Helvetica Neue" w:cs="Helvetica Neue"/>
          <w:b/>
          <w:sz w:val="22"/>
          <w:szCs w:val="22"/>
        </w:rPr>
      </w:pPr>
    </w:p>
    <w:p w:rsidR="00A312D1" w:rsidRDefault="00FB1BA9" w14:paraId="17566E82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A312D1" w:rsidRDefault="00A312D1" w14:paraId="69DA258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70DE7DA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A312D1" w:rsidRDefault="00A312D1" w14:paraId="2286CF0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28C0055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A312D1" w:rsidRDefault="00A312D1" w14:paraId="6999F2B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5200FF9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A312D1" w:rsidRDefault="00A312D1" w14:paraId="0B5B1F8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A312D1" w:rsidRDefault="00A312D1" w14:paraId="41D52A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P="5585588D" w:rsidRDefault="00FB1BA9" w14:paraId="029ECF7E" w14:textId="0642017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</w:pP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</w:t>
      </w:r>
      <w:r w:rsidRPr="5585588D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 xml:space="preserve"> 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                           </w:t>
      </w:r>
      <w:r w:rsidRPr="5585588D" w:rsidR="30A3663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5585588D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D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ate: </w:t>
      </w:r>
      <w:r w:rsidRPr="5585588D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3</w:t>
      </w:r>
      <w:r w:rsidRPr="5585588D" w:rsidR="00A8510D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1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5585588D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0</w:t>
      </w:r>
      <w:r w:rsidRPr="5585588D" w:rsidR="00A8510D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3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/2020</w:t>
      </w:r>
      <w:r w:rsidRPr="5585588D" w:rsidR="001B7C6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- </w:t>
      </w:r>
      <w:r w:rsidRPr="5585588D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1</w:t>
      </w:r>
      <w:r w:rsidRPr="5585588D" w:rsidR="003E7ED6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3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5585588D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04</w:t>
      </w: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/2020         </w:t>
      </w:r>
    </w:p>
    <w:p w:rsidR="00A312D1" w:rsidP="5585588D" w:rsidRDefault="00FB1BA9" w14:paraId="67F90525" w14:textId="2766A6E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A312D1" w:rsidRDefault="00FB1BA9" w14:paraId="27256231" w14:textId="4DE1CD8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5585588D" w:rsidR="00FB1BA9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 xml:space="preserve">Implementation Status </w:t>
      </w:r>
      <w:r w:rsidRPr="5585588D" w:rsidR="00966501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–</w:t>
      </w:r>
      <w:r w:rsidRPr="5585588D" w:rsidR="00FB1BA9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</w:t>
      </w:r>
      <w:r w:rsidRPr="5585588D" w:rsidR="001E311D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All </w:t>
      </w:r>
      <w:r w:rsidRPr="5585588D" w:rsidR="00966501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>four models operational</w:t>
      </w:r>
    </w:p>
    <w:p w:rsidR="00A312D1" w:rsidRDefault="00A312D1" w14:paraId="6034BF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P="001B7C65" w:rsidRDefault="00FB1BA9" w14:paraId="629AD996" w14:textId="0B20ED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group is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back on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track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based on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schedule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created. The experimental Process </w:t>
      </w:r>
      <w:r w:rsidR="00A8510D">
        <w:rPr>
          <w:rFonts w:ascii="Helvetica Neue" w:hAnsi="Helvetica Neue" w:eastAsia="Helvetica Neue" w:cs="Helvetica Neue"/>
          <w:sz w:val="22"/>
          <w:szCs w:val="22"/>
        </w:rPr>
        <w:t>is halfway completed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. </w:t>
      </w:r>
    </w:p>
    <w:p w:rsidR="00A312D1" w:rsidRDefault="00A312D1" w14:paraId="699A44A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A312D1" w:rsidRDefault="00A312D1" w14:paraId="5E49A45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4A32BBB4" w14:textId="3067182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</w:t>
      </w:r>
      <w:r w:rsidR="00166578"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–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 </w:t>
      </w:r>
      <w:r w:rsidRPr="00166578" w:rsidR="00166578">
        <w:rPr>
          <w:rFonts w:ascii="Helvetica Neue" w:hAnsi="Helvetica Neue" w:eastAsia="Helvetica Neue" w:cs="Helvetica Neue"/>
          <w:bCs/>
          <w:color w:val="000000"/>
          <w:sz w:val="22"/>
          <w:szCs w:val="22"/>
        </w:rPr>
        <w:t>No major risks or issues were presented during this time frame.</w:t>
      </w:r>
    </w:p>
    <w:p w:rsidR="00A312D1" w:rsidRDefault="00A312D1" w14:paraId="1757CC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b"/>
        <w:tblW w:w="9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60"/>
        <w:gridCol w:w="3075"/>
        <w:gridCol w:w="1935"/>
        <w:gridCol w:w="1275"/>
      </w:tblGrid>
      <w:tr w:rsidR="00A312D1" w14:paraId="1ABB6494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E4451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E0209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6F3519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633059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50DF1F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312D1" w14:paraId="74E23B6D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9E3BDE" w14:paraId="220E3ED6" w14:textId="7B88FCB6">
            <w:r>
              <w:t>10/04/2020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9E3BDE" w14:paraId="178D4CA5" w14:textId="577CCD18">
            <w:r>
              <w:t>Datasets fitting problem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72E" w:rsidRDefault="009E3BDE" w14:paraId="74745EA9" w14:textId="77777777">
            <w:r>
              <w:t>Some datasets refused to be fitting no matter the parameter tuning conducted,</w:t>
            </w:r>
          </w:p>
          <w:p w:rsidR="0014572E" w:rsidRDefault="0014572E" w14:paraId="1F1AE2E3" w14:textId="657EF23C"/>
          <w:p w:rsidR="00A312D1" w:rsidRDefault="0014572E" w14:paraId="22C2128F" w14:textId="4AFF85B3">
            <w:r>
              <w:t xml:space="preserve">Some fitted well for some models well others were poor in performance, </w:t>
            </w:r>
            <w:r w:rsidR="009E3BDE">
              <w:t xml:space="preserve">therefore alternatives </w:t>
            </w:r>
            <w:r w:rsidR="007E1C21">
              <w:t>had</w:t>
            </w:r>
            <w:r w:rsidR="009E3BDE">
              <w:t xml:space="preserve"> to be so</w:t>
            </w:r>
            <w:r w:rsidR="007E1C21">
              <w:t>urced</w:t>
            </w:r>
            <w:r w:rsidR="009E3BDE">
              <w:t xml:space="preserve"> to ensure an adequate </w:t>
            </w:r>
            <w:r w:rsidR="007E1C21">
              <w:t>number</w:t>
            </w:r>
            <w:r w:rsidR="009E3BDE">
              <w:t xml:space="preserve"> of datasets </w:t>
            </w:r>
            <w:r w:rsidR="007E1C21">
              <w:t>are</w:t>
            </w:r>
            <w:r w:rsidR="009E3BDE">
              <w:t xml:space="preserve"> collected</w:t>
            </w:r>
            <w:r w:rsidR="007E1C21">
              <w:t xml:space="preserve"> for us to run the experiments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7E1C21" w14:paraId="0A4ECFC5" w14:textId="60202FBD">
            <w:r>
              <w:t>Look for access to the Time Series Data Library, Try other sources for seasonal datasets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3E7ED6" w14:paraId="0C85678D" w14:textId="07796903">
            <w:bookmarkStart w:name="_heading=h.gjdgxs" w:colFirst="0" w:colLast="0" w:id="0"/>
            <w:bookmarkEnd w:id="0"/>
            <w:r>
              <w:t>Resolved</w:t>
            </w:r>
          </w:p>
        </w:tc>
      </w:tr>
      <w:tr w:rsidR="00A312D1" w14:paraId="44ADBF4A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60EAF13" w14:textId="77777777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1C5F23BA" w14:textId="77777777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08EA566A" w14:textId="77777777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101CAB2" w14:textId="77777777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5CC9CC41" w14:textId="77777777"/>
        </w:tc>
      </w:tr>
    </w:tbl>
    <w:p w:rsidR="00A312D1" w:rsidRDefault="00A312D1" w14:paraId="383D6BC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275C547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C20076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FB1BA9" w14:paraId="13C9F06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Tasks in Progress or Completed in the Last Iteration</w:t>
      </w:r>
    </w:p>
    <w:p w:rsidR="00A312D1" w:rsidRDefault="00A312D1" w14:paraId="4517CF3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c"/>
        <w:tblW w:w="96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A312D1" w:rsidTr="5585588D" w14:paraId="488DAC64" w14:textId="77777777">
        <w:trPr>
          <w:trHeight w:val="482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D7670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03B6F1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C664D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BC3FB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A8510D" w:rsidTr="5585588D" w14:paraId="182413BC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A8510D" w14:paraId="7E1B6139" w14:textId="5DC9B564">
            <w:r>
              <w:t>Running the experiment for BPNN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A8510D" w14:paraId="7B6DD34C" w14:textId="398DCD92">
            <w:r w:rsidR="00A8510D">
              <w:rPr/>
              <w:t>The experimental process</w:t>
            </w:r>
            <w:r w:rsidR="4536718C">
              <w:rPr/>
              <w:t xml:space="preserve"> began</w:t>
            </w:r>
            <w:r w:rsidR="00A8510D">
              <w:rPr/>
              <w:t xml:space="preserve"> for the BPNN model, and its parameters w</w:t>
            </w:r>
            <w:r w:rsidR="4536718C">
              <w:rPr/>
              <w:t>as</w:t>
            </w:r>
            <w:r w:rsidR="00A8510D">
              <w:rPr/>
              <w:t xml:space="preserve"> fixed per dataset and the </w:t>
            </w:r>
            <w:r w:rsidR="4536718C">
              <w:rPr/>
              <w:t xml:space="preserve">performance </w:t>
            </w:r>
            <w:r w:rsidR="00A8510D">
              <w:rPr/>
              <w:t>results</w:t>
            </w:r>
            <w:r w:rsidR="4536718C">
              <w:rPr/>
              <w:t xml:space="preserve"> </w:t>
            </w:r>
            <w:r w:rsidR="17712CEA">
              <w:rPr/>
              <w:t>were recorded</w:t>
            </w:r>
            <w:r w:rsidR="3CDED177">
              <w:rPr/>
              <w:t xml:space="preserve"> at face value.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61054B" w14:paraId="3F4FF3BC" w14:textId="7767910D">
            <w:r>
              <w:t>All 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14572E" w14:paraId="79464723" w14:textId="428F381E">
            <w:r>
              <w:t>10</w:t>
            </w:r>
            <w:r w:rsidR="00492440">
              <w:t>0</w:t>
            </w:r>
            <w:r w:rsidR="0061054B">
              <w:t>%</w:t>
            </w:r>
            <w:r>
              <w:t xml:space="preserve"> </w:t>
            </w:r>
          </w:p>
        </w:tc>
      </w:tr>
      <w:tr w:rsidR="00A8510D" w:rsidTr="5585588D" w14:paraId="3051A30C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A8510D" w14:paraId="3B15DD40" w14:textId="3D0E6B81">
            <w:r>
              <w:lastRenderedPageBreak/>
              <w:t>Fine tuning the Neural ODE code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A8510D" w14:paraId="50D5C4CE" w14:textId="6D3F19FD">
            <w:r>
              <w:t xml:space="preserve">Parameter tuning the Neural ODE code before we move to the experiments. 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61054B" w14:paraId="33EBE389" w14:textId="648BF8DC">
            <w:r>
              <w:t>All 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61054B" w14:paraId="7B84CA4B" w14:textId="41239095">
            <w:r>
              <w:t>100%</w:t>
            </w:r>
          </w:p>
        </w:tc>
      </w:tr>
      <w:tr w:rsidR="0061054B" w:rsidTr="5585588D" w14:paraId="4E392AF2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75422E46" w14:textId="0D588E2C">
            <w:r>
              <w:t>Running the experiment for Neural ODE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A726D5" w14:paraId="06F63882" w14:textId="0C511F7A">
            <w:r w:rsidR="6D7A82EE">
              <w:rPr/>
              <w:t xml:space="preserve">The experimental process began for the Neural ODE model, and its parameters was fixed per dataset and the performance results </w:t>
            </w:r>
            <w:r w:rsidR="0404628E">
              <w:rPr/>
              <w:t>were recorded</w:t>
            </w:r>
            <w:r w:rsidR="3CDED177">
              <w:rPr/>
              <w:t xml:space="preserve"> at face value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2EE2771E" w14:textId="6D60DD33">
            <w:r>
              <w:t>All 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D33838" w14:paraId="410093F6" w14:textId="0A91D9F4">
            <w:r>
              <w:t>10</w:t>
            </w:r>
            <w:r w:rsidR="0061054B">
              <w:t>0%</w:t>
            </w:r>
          </w:p>
        </w:tc>
      </w:tr>
      <w:tr w:rsidR="0061054B" w:rsidTr="5585588D" w14:paraId="36FF4938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A726D5" w14:paraId="46E8CA51" w14:textId="4A995F78">
            <w:r>
              <w:t xml:space="preserve">Dataset Refined 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A726D5" w14:paraId="6BA65FC9" w14:textId="41860DDA">
            <w:r>
              <w:t>Researched for more datasets as some were quite challenging to fit across models therefore replacements were sort after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A726D5" w14:paraId="68B5A478" w14:textId="0BC73251">
            <w:r>
              <w:t>All 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A726D5" w14:paraId="1B737294" w14:textId="2D045769">
            <w:r>
              <w:t>100%</w:t>
            </w:r>
          </w:p>
        </w:tc>
      </w:tr>
      <w:tr w:rsidR="0061054B" w:rsidTr="5585588D" w14:paraId="5EDDEADC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7AA8BEAF" w14:textId="42125AFD"/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36A83B82" w14:textId="3930DE6C"/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EFFAE7C" w14:textId="2A5C7CEA"/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1D5B717" w14:textId="71FA4CAD"/>
        </w:tc>
      </w:tr>
    </w:tbl>
    <w:p w:rsidR="00A312D1" w:rsidRDefault="00A312D1" w14:paraId="0287DD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140C1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C3C5019" w14:textId="5EC0B9E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22A873BD" w14:textId="336CE29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733CA466" w14:textId="787BC11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3EAB2F5A" w14:textId="484458C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010D9B6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A312D1" w14:paraId="50D9972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4688F60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Upcoming Tasks for the Next Iteration</w:t>
      </w:r>
    </w:p>
    <w:p w:rsidR="00A312D1" w:rsidRDefault="00A312D1" w14:paraId="0F5462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d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A312D1" w:rsidTr="5585588D" w14:paraId="4ABA62B0" w14:textId="77777777">
        <w:trPr>
          <w:trHeight w:val="295"/>
        </w:trPr>
        <w:tc>
          <w:tcPr>
            <w:tcW w:w="32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343A8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4596C8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44A6B6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61054B" w:rsidTr="5585588D" w14:paraId="56DDF0EB" w14:textId="77777777">
        <w:trPr>
          <w:trHeight w:val="295"/>
        </w:trPr>
        <w:tc>
          <w:tcPr>
            <w:tcW w:w="32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9E3BDE" w14:paraId="6B68C5FD" w14:textId="396CB640">
            <w:r>
              <w:t xml:space="preserve">Rerun of the experimental Process </w:t>
            </w:r>
          </w:p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9E3BDE" w14:paraId="2D8062C3" w14:textId="39E57211">
            <w:r w:rsidR="45D783E9">
              <w:rPr/>
              <w:t xml:space="preserve">As we </w:t>
            </w:r>
            <w:r w:rsidR="4D326A85">
              <w:rPr/>
              <w:t>ran into a fitting issue, we would rer</w:t>
            </w:r>
            <w:r w:rsidR="50A1C8B6">
              <w:rPr/>
              <w:t>u</w:t>
            </w:r>
            <w:r w:rsidR="4D326A85">
              <w:rPr/>
              <w:t xml:space="preserve">n the experiments </w:t>
            </w:r>
            <w:r w:rsidR="50A1C8B6">
              <w:rPr/>
              <w:t xml:space="preserve">for all models </w:t>
            </w:r>
            <w:r w:rsidR="3B72E846">
              <w:rPr/>
              <w:t xml:space="preserve">on the new datasets to replace the </w:t>
            </w:r>
            <w:r w:rsidR="3B72E846">
              <w:rPr/>
              <w:t>old datasets</w:t>
            </w:r>
            <w:r w:rsidR="3B72E846">
              <w:rPr/>
              <w:t xml:space="preserve"> that did not performance well.</w:t>
            </w:r>
          </w:p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9E1CB0" w14:paraId="3159A364" w14:textId="372C1B1D">
            <w:r>
              <w:t>All Members</w:t>
            </w:r>
          </w:p>
        </w:tc>
      </w:tr>
      <w:tr w:rsidR="0061054B" w:rsidTr="5585588D" w14:paraId="62EC31B1" w14:textId="77777777">
        <w:trPr>
          <w:trHeight w:val="295"/>
        </w:trPr>
        <w:tc>
          <w:tcPr>
            <w:tcW w:w="32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1B704D0D" w14:textId="4B330B24"/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3E48B1DB" w14:textId="47CAD3FA"/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05DBF900" w14:textId="77777777"/>
        </w:tc>
      </w:tr>
      <w:tr w:rsidR="0061054B" w:rsidTr="5585588D" w14:paraId="52F1EAC3" w14:textId="77777777">
        <w:trPr>
          <w:trHeight w:val="295"/>
        </w:trPr>
        <w:tc>
          <w:tcPr>
            <w:tcW w:w="32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1A3B3216" w14:textId="1E27D050"/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BFD4736" w14:textId="7C6086FF"/>
        </w:tc>
        <w:tc>
          <w:tcPr>
            <w:tcW w:w="3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EA1DEEC" w14:textId="77777777"/>
        </w:tc>
      </w:tr>
    </w:tbl>
    <w:p w:rsidR="00A312D1" w:rsidRDefault="00A312D1" w14:paraId="25C80B6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A312D1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0AAE" w:rsidRDefault="00450AAE" w14:paraId="520C6BDC" w14:textId="77777777">
      <w:r>
        <w:separator/>
      </w:r>
    </w:p>
  </w:endnote>
  <w:endnote w:type="continuationSeparator" w:id="0">
    <w:p w:rsidR="00450AAE" w:rsidRDefault="00450AAE" w14:paraId="34B08D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2D1" w:rsidRDefault="00A312D1" w14:paraId="60C9DBE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0AAE" w:rsidRDefault="00450AAE" w14:paraId="6FC37B7B" w14:textId="77777777">
      <w:r>
        <w:separator/>
      </w:r>
    </w:p>
  </w:footnote>
  <w:footnote w:type="continuationSeparator" w:id="0">
    <w:p w:rsidR="00450AAE" w:rsidRDefault="00450AAE" w14:paraId="745710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2D1" w:rsidRDefault="00A312D1" w14:paraId="2DF6255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D1"/>
    <w:rsid w:val="0014572E"/>
    <w:rsid w:val="00166578"/>
    <w:rsid w:val="001B7C65"/>
    <w:rsid w:val="001E311D"/>
    <w:rsid w:val="00201B6D"/>
    <w:rsid w:val="003E7ED6"/>
    <w:rsid w:val="00450AAE"/>
    <w:rsid w:val="00492440"/>
    <w:rsid w:val="005244B2"/>
    <w:rsid w:val="00580BAC"/>
    <w:rsid w:val="00584B5C"/>
    <w:rsid w:val="005F5EEB"/>
    <w:rsid w:val="0061054B"/>
    <w:rsid w:val="007E1C21"/>
    <w:rsid w:val="00966501"/>
    <w:rsid w:val="009E1CB0"/>
    <w:rsid w:val="009E3BDE"/>
    <w:rsid w:val="00A22459"/>
    <w:rsid w:val="00A312D1"/>
    <w:rsid w:val="00A726D5"/>
    <w:rsid w:val="00A8510D"/>
    <w:rsid w:val="00BD67E8"/>
    <w:rsid w:val="00BE6A9C"/>
    <w:rsid w:val="00C40915"/>
    <w:rsid w:val="00D1100D"/>
    <w:rsid w:val="00D33838"/>
    <w:rsid w:val="00E0783A"/>
    <w:rsid w:val="00E6393B"/>
    <w:rsid w:val="00EC6C51"/>
    <w:rsid w:val="00FA603B"/>
    <w:rsid w:val="00FB1BA9"/>
    <w:rsid w:val="0404628E"/>
    <w:rsid w:val="17712CEA"/>
    <w:rsid w:val="30A36630"/>
    <w:rsid w:val="3368322F"/>
    <w:rsid w:val="3B72E846"/>
    <w:rsid w:val="3CDED177"/>
    <w:rsid w:val="4536718C"/>
    <w:rsid w:val="45D783E9"/>
    <w:rsid w:val="4D326A85"/>
    <w:rsid w:val="50A1C8B6"/>
    <w:rsid w:val="5585588D"/>
    <w:rsid w:val="6D7A8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34F"/>
  <w15:docId w15:val="{4543EB58-D36C-4A60-AB66-D35298DB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Wrynr+fxAeTbM10+U2oAvRakQ==">AMUW2mVqffnzNCBvr6t1NvBt8+POVyPA1MOjN/68EjsRHkE8VE0ng8QqiU9MFBhYl/OrcVT6SrcOiFapsoc1ToC5P51upszfX9tk4aJkcbJgD4Rp99W18sNcz9YEYxGAxRviUeUQAge2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10</revision>
  <dcterms:created xsi:type="dcterms:W3CDTF">2020-01-27T20:20:00.0000000Z</dcterms:created>
  <dcterms:modified xsi:type="dcterms:W3CDTF">2020-05-15T19:05:46.2863323Z</dcterms:modified>
</coreProperties>
</file>