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000"/>
        <w:gridCol w:w="8080"/>
      </w:tblGrid>
      <w:tr>
        <w:tc>
          <w:tcPr>
            <w:tcW w:type="dxa" w:w="2000"/>
            <w:shd w:fill="121614" w:val="clear"/>
            <w:tcMar>
              <w:top w:type="dxa" w:w="280"/>
              <w:left w:type="dxa" w:w="280"/>
              <w:bottom w:type="dxa" w:w="280"/>
              <w:right w:type="dxa" w:w="120"/>
            </w:tcMar>
            <w:vAlign w:val="center"/>
          </w:tcPr>
          <w:p>
            <w:pPr>
              <w:jc w:val="left"/>
            </w:pPr>
            <w:r>
              <w:drawing>
                <wp:inline distT="0" distB="0" distL="0" distR="0">
                  <wp:extent cx="1047750" cy="638175"/>
                  <wp:effectExtent t="0" r="0" b="0" l="0"/>
                  <wp:docPr id="1" name="sciencebridge-logo" descr="ScienceBridge logo" title="ScienceBrid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638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080"/>
            <w:shd w:fill="121614" w:val="clear"/>
            <w:tcMar>
              <w:top w:type="dxa" w:w="280"/>
              <w:left w:type="dxa" w:w="120"/>
              <w:bottom w:type="dxa" w:w="280"/>
              <w:right w:type="dxa" w:w="280"/>
            </w:tcMar>
            <w:vAlign w:val="center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pacing w:val="20"/>
                <w:sz w:val="16"/>
                <w:szCs w:val="16"/>
              </w:rPr>
              <w:t xml:space="preserve">SCIENCEBRIDGE</w:t>
            </w:r>
            <w:r>
              <w:rPr>
                <w:rFonts w:ascii="Consolas" w:cs="Consolas" w:eastAsia="Consolas" w:hAnsi="Consolas"/>
                <w:color w:val="00AA01"/>
                <w:spacing w:val="20"/>
                <w:sz w:val="16"/>
                <w:szCs w:val="16"/>
              </w:rPr>
              <w:t xml:space="preserve">   /   </w:t>
            </w:r>
            <w:r>
              <w:rPr>
                <w:rFonts w:ascii="Consolas" w:cs="Consolas" w:eastAsia="Consolas" w:hAnsi="Consolas"/>
                <w:b/>
                <w:bCs/>
                <w:color w:val="00AA01"/>
                <w:spacing w:val="20"/>
                <w:sz w:val="16"/>
                <w:szCs w:val="16"/>
              </w:rPr>
              <w:t xml:space="preserve">CONSULTANCY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0"/>
                <w:szCs w:val="30"/>
              </w:rPr>
              <w:t xml:space="preserve">From Lab Bench to Commercial Win.</w:t>
            </w:r>
          </w:p>
          <w:p>
            <w:r>
              <w:rPr>
                <w:rFonts w:ascii="Calibri" w:cs="Calibri" w:eastAsia="Calibri" w:hAnsi="Calibri"/>
                <w:i/>
                <w:iCs/>
                <w:color w:val="E7EFE9"/>
                <w:sz w:val="20"/>
                <w:szCs w:val="20"/>
              </w:rPr>
              <w:t xml:space="preserve">A year-long commercialization program for academic biotech PIs.</w:t>
            </w:r>
          </w:p>
        </w:tc>
      </w:tr>
    </w:tbl>
    <w:p>
      <w:r>
        <w:rPr>
          <w:rFonts w:ascii="Calibri" w:cs="Calibri" w:eastAsia="Calibri" w:hAnsi="Calibri"/>
          <w:sz w:val="14"/>
          <w:szCs w:val="14"/>
        </w:rPr>
        <w:t xml:space="preserve"/>
      </w:r>
    </w:p>
    <w:p>
      <w:pPr>
        <w:spacing w:after="60" w:before="140"/>
      </w:pPr>
      <w:r>
        <w:rPr>
          <w:rFonts w:ascii="Consolas" w:cs="Consolas" w:eastAsia="Consolas" w:hAnsi="Consolas"/>
          <w:b/>
          <w:bCs/>
          <w:color w:val="00AA01"/>
          <w:spacing w:val="20"/>
          <w:sz w:val="18"/>
          <w:szCs w:val="18"/>
        </w:rPr>
        <w:t xml:space="preserve">THE PROBLEM</w:t>
      </w:r>
    </w:p>
    <w:p>
      <w:p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Brilliant science. No commercialization playbook. Most academic biotech PIs end up with a strong invention disclosure, a stretched tech transfer office, and a missed window. Taking IP from lab to market is a full-time job, and you already have one. The standard alternatives, a four-week consulting sprint or a generalist advisor or an MBA intern, don’t survive contact with reality.</w:t>
      </w:r>
    </w:p>
    <w:p>
      <w:pPr>
        <w:spacing w:after="60" w:before="140"/>
      </w:pPr>
      <w:r>
        <w:rPr>
          <w:rFonts w:ascii="Consolas" w:cs="Consolas" w:eastAsia="Consolas" w:hAnsi="Consolas"/>
          <w:b/>
          <w:bCs/>
          <w:color w:val="00AA01"/>
          <w:spacing w:val="20"/>
          <w:sz w:val="18"/>
          <w:szCs w:val="18"/>
        </w:rPr>
        <w:t xml:space="preserve">WHAT WE DO</w:t>
      </w:r>
    </w:p>
    <w:p>
      <w:p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A 52-week program built around one focused deliverable every Friday. Each deliverable is owned by a specialist pod (IP, Market, Funding, or Network) and synthesized by a senior team into a clean, decision-ready artifact. By year-end, you’ve moved from “interesting science” to “investible company,” or to a license deal, a strategic partnership, or whatever path the diligence actually supports.</w:t>
      </w:r>
    </w:p>
    <w:p>
      <w:pPr>
        <w:spacing w:after="60" w:before="140"/>
      </w:pPr>
      <w:r>
        <w:rPr>
          <w:rFonts w:ascii="Consolas" w:cs="Consolas" w:eastAsia="Consolas" w:hAnsi="Consolas"/>
          <w:b/>
          <w:bCs/>
          <w:color w:val="00AA01"/>
          <w:spacing w:val="20"/>
          <w:sz w:val="18"/>
          <w:szCs w:val="18"/>
        </w:rPr>
        <w:t xml:space="preserve">WHY IT WORKS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19"/>
          <w:szCs w:val="19"/>
        </w:rPr>
        <w:t xml:space="preserve">Year-long depth, not a sprint. Real commercialization takes patience: a quarter of investor calls is preceded by two quarters of diligence and positioning.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19"/>
          <w:szCs w:val="19"/>
        </w:rPr>
        <w:t xml:space="preserve">Weekly artifacts, not quarterly slide decks. A usable memo, deck, model, or plan every week, not a slow-rolling invoice.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19"/>
          <w:szCs w:val="19"/>
        </w:rPr>
        <w:t xml:space="preserve">Specialist pods, not generalists. Our IP pod reads patent claims. Our market pod builds bottoms-up TAM models. Our funding pod tracks grant deadlines and VC conviction signals. Our network pod knows the KOLs and conferences that matter.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19"/>
          <w:szCs w:val="19"/>
        </w:rPr>
        <w:t xml:space="preserve">Built for scientists. PIs are senior thinkers. We don’t dumb anything down, and we don’t drown you in jargon. Every brief is readable in under ten minutes.</w:t>
      </w:r>
    </w:p>
    <w:p>
      <w:pPr>
        <w:spacing w:after="60" w:before="140"/>
      </w:pPr>
      <w:r>
        <w:rPr>
          <w:rFonts w:ascii="Consolas" w:cs="Consolas" w:eastAsia="Consolas" w:hAnsi="Consolas"/>
          <w:b/>
          <w:bCs/>
          <w:color w:val="00AA01"/>
          <w:spacing w:val="20"/>
          <w:sz w:val="18"/>
          <w:szCs w:val="18"/>
        </w:rPr>
        <w:t xml:space="preserve">THE 52-WEEK ARC</w:t>
      </w:r>
    </w:p>
    <w:p>
      <w:pPr>
        <w:spacing w:after="30"/>
      </w:pPr>
      <w:r>
        <w:rPr>
          <w:rFonts w:ascii="Consolas" w:cs="Consolas" w:eastAsia="Consolas" w:hAnsi="Consolas"/>
          <w:b/>
          <w:bCs/>
          <w:color w:val="00AA01"/>
          <w:spacing w:val="20"/>
          <w:sz w:val="19"/>
          <w:szCs w:val="19"/>
        </w:rPr>
        <w:t xml:space="preserve">Q1.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 Foundation and Diligence. </w:t>
      </w:r>
      <w:r>
        <w:rPr>
          <w:rFonts w:ascii="Calibri" w:cs="Calibri" w:eastAsia="Calibri" w:hAnsi="Calibri"/>
          <w:sz w:val="19"/>
          <w:szCs w:val="19"/>
        </w:rPr>
        <w:t xml:space="preserve">IP landscape, FTO assessment, market sizing, competitive map, funding landscape, KOL longlist. Ends with a strategic options memo that forces a path.</w:t>
      </w:r>
    </w:p>
    <w:p>
      <w:pPr>
        <w:spacing w:after="30"/>
      </w:pPr>
      <w:r>
        <w:rPr>
          <w:rFonts w:ascii="Consolas" w:cs="Consolas" w:eastAsia="Consolas" w:hAnsi="Consolas"/>
          <w:b/>
          <w:bCs/>
          <w:color w:val="00AA01"/>
          <w:spacing w:val="20"/>
          <w:sz w:val="19"/>
          <w:szCs w:val="19"/>
        </w:rPr>
        <w:t xml:space="preserve">Q2.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 Strategic Direction. </w:t>
      </w:r>
      <w:r>
        <w:rPr>
          <w:rFonts w:ascii="Calibri" w:cs="Calibri" w:eastAsia="Calibri" w:hAnsi="Calibri"/>
          <w:sz w:val="19"/>
          <w:szCs w:val="19"/>
        </w:rPr>
        <w:t xml:space="preserve">Patent prosecution strategy, regulatory pathway, pitch outline, term sheet education, advisor recruiting, pitch deck v1. Ends with the full commercialization plan.</w:t>
      </w:r>
    </w:p>
    <w:p>
      <w:pPr>
        <w:spacing w:after="30"/>
      </w:pPr>
      <w:r>
        <w:rPr>
          <w:rFonts w:ascii="Consolas" w:cs="Consolas" w:eastAsia="Consolas" w:hAnsi="Consolas"/>
          <w:b/>
          <w:bCs/>
          <w:color w:val="00AA01"/>
          <w:spacing w:val="20"/>
          <w:sz w:val="19"/>
          <w:szCs w:val="19"/>
        </w:rPr>
        <w:t xml:space="preserve">Q3.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 Activation and Outreach. </w:t>
      </w:r>
      <w:r>
        <w:rPr>
          <w:rFonts w:ascii="Calibri" w:cs="Calibri" w:eastAsia="Calibri" w:hAnsi="Calibri"/>
          <w:sz w:val="19"/>
          <w:szCs w:val="19"/>
        </w:rPr>
        <w:t xml:space="preserve">Investor target list, polished materials, data room, TTO negotiation support, conference prep, investor meetings, customer discovery. Ends with a feedback-tested plan you’re executing against.</w:t>
      </w:r>
    </w:p>
    <w:p>
      <w:pPr>
        <w:spacing w:after="80"/>
      </w:pPr>
      <w:r>
        <w:rPr>
          <w:rFonts w:ascii="Consolas" w:cs="Consolas" w:eastAsia="Consolas" w:hAnsi="Consolas"/>
          <w:b/>
          <w:bCs/>
          <w:color w:val="00AA01"/>
          <w:spacing w:val="20"/>
          <w:sz w:val="19"/>
          <w:szCs w:val="19"/>
        </w:rPr>
        <w:t xml:space="preserve">Q4.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 Scaling and Closing. </w:t>
      </w:r>
      <w:r>
        <w:rPr>
          <w:rFonts w:ascii="Calibri" w:cs="Calibri" w:eastAsia="Calibri" w:hAnsi="Calibri"/>
          <w:sz w:val="19"/>
          <w:szCs w:val="19"/>
        </w:rPr>
        <w:t xml:space="preserve">Cap table modeling, term sheet negotiation, founding team search, refined pitch deck v2, close roadmap. Ends with a year-in-review and a Y2 strategic plan.</w:t>
      </w:r>
    </w:p>
    <w:p>
      <w:pPr>
        <w:spacing w:after="60" w:before="140"/>
      </w:pPr>
      <w:r>
        <w:rPr>
          <w:rFonts w:ascii="Consolas" w:cs="Consolas" w:eastAsia="Consolas" w:hAnsi="Consolas"/>
          <w:b/>
          <w:bCs/>
          <w:color w:val="00AA01"/>
          <w:spacing w:val="20"/>
          <w:sz w:val="18"/>
          <w:szCs w:val="18"/>
        </w:rPr>
        <w:t xml:space="preserve">WHAT YOU WALK AWAY WITH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19"/>
          <w:szCs w:val="19"/>
        </w:rPr>
        <w:t xml:space="preserve">A defensible IP position you and your TTO trust.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19"/>
          <w:szCs w:val="19"/>
        </w:rPr>
        <w:t xml:space="preserve">A pitch deck investors actually fund.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19"/>
          <w:szCs w:val="19"/>
        </w:rPr>
        <w:t xml:space="preserve">A grant strategy aligned to the right deadlines.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19"/>
          <w:szCs w:val="19"/>
        </w:rPr>
        <w:t xml:space="preserve">A vetted advisor and board roster, plus a live investor pipeline.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19"/>
          <w:szCs w:val="19"/>
        </w:rPr>
        <w:t xml:space="preserve">A go/no-go decision made with conviction, on a calendar that respects your time.</w:t>
      </w:r>
    </w:p>
    <w:p>
      <w:pPr>
        <w:spacing w:after="60" w:before="140"/>
      </w:pPr>
      <w:r>
        <w:rPr>
          <w:rFonts w:ascii="Consolas" w:cs="Consolas" w:eastAsia="Consolas" w:hAnsi="Consolas"/>
          <w:b/>
          <w:bCs/>
          <w:color w:val="00AA01"/>
          <w:spacing w:val="20"/>
          <w:sz w:val="18"/>
          <w:szCs w:val="18"/>
        </w:rPr>
        <w:t xml:space="preserve">HOW THE ENGAGEMENT WORKS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19"/>
          <w:szCs w:val="19"/>
        </w:rPr>
        <w:t xml:space="preserve">52 weeks, renewable annually. One focused Friday deliverable per week.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19"/>
          <w:szCs w:val="19"/>
        </w:rPr>
        <w:t xml:space="preserve">Quarterly strategic memos co-signed by our CEO at weeks 12, 25, 38, and 51.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19"/>
          <w:szCs w:val="19"/>
        </w:rPr>
        <w:t xml:space="preserve">Dedicated Project Manager for your engagement, with strict per-PI confidentiality.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19"/>
          <w:szCs w:val="19"/>
        </w:rPr>
        <w:t xml:space="preserve">All work delivered in formats you can forward: memos, decks, models, plans.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19"/>
          <w:szCs w:val="19"/>
        </w:rPr>
        <w:t xml:space="preserve">Stage-flex scope: from pre-disclosure inventions through Series A close, the program meets you where you are.</w:t>
      </w:r>
    </w:p>
    <w:p>
      <w:pPr>
        <w:spacing w:before="12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121614" w:val="clear"/>
            <w:tcMar>
              <w:top w:type="dxa" w:w="220"/>
              <w:left w:type="dxa" w:w="280"/>
              <w:bottom w:type="dxa" w:w="220"/>
              <w:right w:type="dxa" w:w="28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0AA01"/>
                <w:spacing w:val="20"/>
                <w:sz w:val="18"/>
                <w:szCs w:val="18"/>
              </w:rPr>
              <w:t xml:space="preserve">HOW TO START.</w:t>
            </w:r>
            <w:r>
              <w:rPr>
                <w:rFonts w:ascii="Calibri" w:cs="Calibri" w:eastAsia="Calibri" w:hAnsi="Calibri"/>
                <w:color w:val="FFFFFF"/>
                <w:sz w:val="20"/>
                <w:szCs w:val="20"/>
              </w:rPr>
              <w:t xml:space="preserve"> Email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Gianni@sciencebridge.ai</w:t>
            </w:r>
            <w:r>
              <w:rPr>
                <w:rFonts w:ascii="Calibri" w:cs="Calibri" w:eastAsia="Calibri" w:hAnsi="Calibri"/>
                <w:color w:val="FFFFFF"/>
                <w:sz w:val="20"/>
                <w:szCs w:val="20"/>
              </w:rPr>
              <w:t xml:space="preserve"> with one paragraph on your lab and your IP. We respond within 48 hours with a fit assessment and a proposed engagement charter.</w:t>
            </w:r>
          </w:p>
        </w:tc>
      </w:tr>
    </w:tbl>
    <w:p>
      <w:pPr>
        <w:spacing w:before="120"/>
      </w:pPr>
      <w:r>
        <w:rPr>
          <w:rFonts w:ascii="Calibri" w:cs="Calibri" w:eastAsia="Calibri" w:hAnsi="Calibri"/>
          <w:i/>
          <w:iCs/>
          <w:color w:val="55606C"/>
          <w:sz w:val="16"/>
          <w:szCs w:val="16"/>
        </w:rPr>
        <w:t xml:space="preserve">ScienceBridge Consultancy is a service of ScienceBridge. We work with a limited number of PIs each year to maintain the depth of every engagement.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  <w:rPr>
        <w:rFonts w:ascii="Calibri" w:cs="Calibri" w:eastAsia="Calibri" w:hAnsi="Calibri"/>
        <w:sz w:val="19"/>
        <w:szCs w:val="19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adddb99cc995c964674ce3adb2bb302cfbde22e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ScienceBridge Consultancy One-pager</dc:title>
  <dc:creator>ScienceBridge Consultancy</dc:creator>
  <dc:description>Service offering one-pager</dc:description>
  <cp:lastModifiedBy>Un-named</cp:lastModifiedBy>
  <cp:revision>1</cp:revision>
  <dcterms:created xsi:type="dcterms:W3CDTF">2026-05-18T16:50:40.831Z</dcterms:created>
  <dcterms:modified xsi:type="dcterms:W3CDTF">2026-05-18T16:50:40.832Z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