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D03C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School District Analysis</w:t>
      </w:r>
    </w:p>
    <w:p w14:paraId="2316573B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Thursday, February 12, 2015</w:t>
      </w:r>
    </w:p>
    <w:p w14:paraId="2B1D2636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11:27 PM</w:t>
      </w:r>
    </w:p>
    <w:p w14:paraId="70AC01FB" w14:textId="77777777" w:rsidR="00494EFA" w:rsidRDefault="00494EFA" w:rsidP="0072667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</w:p>
    <w:p w14:paraId="184FACCD" w14:textId="7553ACEF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main takeaway of this analysis is that Charter Schools Outperform district schools substantially.  The overall </w:t>
      </w:r>
      <w:r w:rsidR="00D86EF9">
        <w:rPr>
          <w:rFonts w:ascii="Calibri" w:hAnsi="Calibri" w:cs="Calibri"/>
          <w:sz w:val="22"/>
          <w:szCs w:val="22"/>
        </w:rPr>
        <w:t>percentage</w:t>
      </w:r>
      <w:r>
        <w:rPr>
          <w:rFonts w:ascii="Calibri" w:hAnsi="Calibri" w:cs="Calibri"/>
          <w:sz w:val="22"/>
          <w:szCs w:val="22"/>
        </w:rPr>
        <w:t xml:space="preserve"> of students passing both Math and Reading at 90.4% for Charter schools compared to 53.6% for district schools. </w:t>
      </w:r>
    </w:p>
    <w:p w14:paraId="43A4FD61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9941F7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top 5 schools for passing % are all charter, and the bottom five schools are all </w:t>
      </w:r>
      <w:proofErr w:type="gramStart"/>
      <w:r>
        <w:rPr>
          <w:rFonts w:ascii="Calibri" w:hAnsi="Calibri" w:cs="Calibri"/>
          <w:sz w:val="22"/>
          <w:szCs w:val="22"/>
        </w:rPr>
        <w:t>district</w:t>
      </w:r>
      <w:proofErr w:type="gramEnd"/>
      <w:r>
        <w:rPr>
          <w:rFonts w:ascii="Calibri" w:hAnsi="Calibri" w:cs="Calibri"/>
          <w:sz w:val="22"/>
          <w:szCs w:val="22"/>
        </w:rPr>
        <w:t xml:space="preserve">. </w:t>
      </w:r>
    </w:p>
    <w:p w14:paraId="2F85BD18" w14:textId="77777777" w:rsidR="00494EFA" w:rsidRDefault="00494EFA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733"/>
        <w:gridCol w:w="1924"/>
        <w:gridCol w:w="1416"/>
        <w:gridCol w:w="1606"/>
        <w:gridCol w:w="1556"/>
      </w:tblGrid>
      <w:tr w:rsidR="00522720" w14:paraId="595D513F" w14:textId="77777777" w:rsidTr="0052272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D75C" w14:textId="77777777" w:rsidR="00522720" w:rsidRDefault="0052272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4A8B0" w14:textId="77777777" w:rsidR="00522720" w:rsidRDefault="005227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80742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B45F9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Passing 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81BFA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Passing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61A58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Overall Passing</w:t>
            </w:r>
          </w:p>
        </w:tc>
      </w:tr>
      <w:tr w:rsidR="00522720" w14:paraId="5E2AC657" w14:textId="77777777" w:rsidTr="0052272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2CF54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School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8BA82" w14:textId="77777777" w:rsidR="00522720" w:rsidRDefault="00522720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7E3C6" w14:textId="77777777" w:rsidR="00522720" w:rsidRDefault="00522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9CE8B" w14:textId="77777777" w:rsidR="00522720" w:rsidRDefault="00522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55308" w14:textId="77777777" w:rsidR="00522720" w:rsidRDefault="00522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F3E02" w14:textId="77777777" w:rsidR="00522720" w:rsidRDefault="00522720">
            <w:pPr>
              <w:jc w:val="center"/>
              <w:rPr>
                <w:sz w:val="20"/>
                <w:szCs w:val="20"/>
              </w:rPr>
            </w:pPr>
          </w:p>
        </w:tc>
      </w:tr>
      <w:tr w:rsidR="00522720" w14:paraId="18563201" w14:textId="77777777" w:rsidTr="0052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7DBF0" w14:textId="77777777" w:rsidR="00522720" w:rsidRDefault="005227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D41FC" w14:textId="77777777" w:rsidR="00522720" w:rsidRDefault="00522720">
            <w:r>
              <w:t>83.473852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91213" w14:textId="77777777" w:rsidR="00522720" w:rsidRDefault="00522720">
            <w:r>
              <w:t>83.896421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73F38" w14:textId="77777777" w:rsidR="00522720" w:rsidRDefault="00522720">
            <w:r>
              <w:t>93.620830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0F26D" w14:textId="77777777" w:rsidR="00522720" w:rsidRDefault="00522720">
            <w:r>
              <w:t>96.586489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12A71" w14:textId="77777777" w:rsidR="00522720" w:rsidRDefault="00522720">
            <w:r>
              <w:t>90.432244</w:t>
            </w:r>
          </w:p>
        </w:tc>
      </w:tr>
      <w:tr w:rsidR="00522720" w14:paraId="589871DC" w14:textId="77777777" w:rsidTr="0052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91AFE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D58D0" w14:textId="77777777" w:rsidR="00522720" w:rsidRDefault="00522720">
            <w:r>
              <w:t>76.956733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51BE5" w14:textId="77777777" w:rsidR="00522720" w:rsidRDefault="00522720">
            <w:r>
              <w:t>80.966636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C1574" w14:textId="77777777" w:rsidR="00522720" w:rsidRDefault="00522720">
            <w:r>
              <w:t>66.548453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FE753" w14:textId="77777777" w:rsidR="00522720" w:rsidRDefault="00522720">
            <w:r>
              <w:t>80.799062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A0902" w14:textId="77777777" w:rsidR="00522720" w:rsidRDefault="00522720">
            <w:r>
              <w:t>53.672208</w:t>
            </w:r>
          </w:p>
        </w:tc>
      </w:tr>
    </w:tbl>
    <w:p w14:paraId="13C6D717" w14:textId="77777777" w:rsidR="006243CB" w:rsidRPr="006243CB" w:rsidRDefault="006243CB" w:rsidP="0072667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C48CCA2" w14:textId="77777777" w:rsidR="00131743" w:rsidRDefault="0013174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E263556" w14:textId="77777777" w:rsidR="00726673" w:rsidRPr="00494EFA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494EFA">
        <w:rPr>
          <w:rFonts w:ascii="Calibri" w:hAnsi="Calibri" w:cs="Calibri"/>
          <w:b/>
          <w:bCs/>
          <w:sz w:val="22"/>
          <w:szCs w:val="22"/>
        </w:rPr>
        <w:t>School Size Analysis</w:t>
      </w:r>
    </w:p>
    <w:p w14:paraId="5AD90C9E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C5E436" w14:textId="6FC941F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Small (less than 1000 students) and medium (1000-2000 students) schools have similar Math, Reading and Overall % scores. Large schools (2000 - 5000 students) have much lower Passing percentages. All district schools are classified as large schools. Wilson High is a charter school classified as </w:t>
      </w:r>
      <w:r w:rsidR="00D86EF9">
        <w:rPr>
          <w:rFonts w:ascii="Calibri" w:hAnsi="Calibri" w:cs="Calibri"/>
          <w:sz w:val="22"/>
          <w:szCs w:val="22"/>
        </w:rPr>
        <w:t>large but</w:t>
      </w:r>
      <w:r>
        <w:rPr>
          <w:rFonts w:ascii="Calibri" w:hAnsi="Calibri" w:cs="Calibri"/>
          <w:sz w:val="22"/>
          <w:szCs w:val="22"/>
        </w:rPr>
        <w:t xml:space="preserve"> passing percentages from that school lines up with other charter schools. </w:t>
      </w:r>
    </w:p>
    <w:p w14:paraId="69D0CB26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0E615A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is also possible that small and medium size schools are more efficient than large schools, but there are no district schools that are small or </w:t>
      </w:r>
      <w:proofErr w:type="gramStart"/>
      <w:r>
        <w:rPr>
          <w:rFonts w:ascii="Calibri" w:hAnsi="Calibri" w:cs="Calibri"/>
          <w:sz w:val="22"/>
          <w:szCs w:val="22"/>
        </w:rPr>
        <w:t>medium</w:t>
      </w:r>
      <w:proofErr w:type="gramEnd"/>
      <w:r>
        <w:rPr>
          <w:rFonts w:ascii="Calibri" w:hAnsi="Calibri" w:cs="Calibri"/>
          <w:sz w:val="22"/>
          <w:szCs w:val="22"/>
        </w:rPr>
        <w:t xml:space="preserve"> so we lack the data in this case to decide that.</w:t>
      </w:r>
    </w:p>
    <w:p w14:paraId="64B9666D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9B4E4C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while school size might look significant at first glance, the results from the data we have merely reinforce the charter v district finding.</w:t>
      </w:r>
    </w:p>
    <w:p w14:paraId="33EC99C0" w14:textId="77777777" w:rsidR="00522720" w:rsidRDefault="00522720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614"/>
        <w:gridCol w:w="1772"/>
        <w:gridCol w:w="1351"/>
        <w:gridCol w:w="1509"/>
        <w:gridCol w:w="1470"/>
      </w:tblGrid>
      <w:tr w:rsidR="00522720" w14:paraId="5E6CEF71" w14:textId="77777777" w:rsidTr="0052272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7AFF8" w14:textId="77777777" w:rsidR="00522720" w:rsidRDefault="00522720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67AC2" w14:textId="77777777" w:rsidR="00522720" w:rsidRDefault="005227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05120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4FAA3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Passing 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01A07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Passing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35E14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Overall Passing</w:t>
            </w:r>
          </w:p>
        </w:tc>
      </w:tr>
      <w:tr w:rsidR="00522720" w14:paraId="544E42B1" w14:textId="77777777" w:rsidTr="0052272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ABB83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School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54ED" w14:textId="77777777" w:rsidR="00522720" w:rsidRDefault="00522720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ED4C0" w14:textId="77777777" w:rsidR="00522720" w:rsidRDefault="00522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49C9F" w14:textId="77777777" w:rsidR="00522720" w:rsidRDefault="00522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558D" w14:textId="77777777" w:rsidR="00522720" w:rsidRDefault="00522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4019B" w14:textId="77777777" w:rsidR="00522720" w:rsidRDefault="00522720">
            <w:pPr>
              <w:jc w:val="center"/>
              <w:rPr>
                <w:sz w:val="20"/>
                <w:szCs w:val="20"/>
              </w:rPr>
            </w:pPr>
          </w:p>
        </w:tc>
      </w:tr>
      <w:tr w:rsidR="00522720" w14:paraId="58536333" w14:textId="77777777" w:rsidTr="0052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60A8" w14:textId="77777777" w:rsidR="00522720" w:rsidRDefault="005227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Small (&lt;1000)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5FD81" w14:textId="77777777" w:rsidR="00522720" w:rsidRDefault="00522720">
            <w:r>
              <w:t>83.821598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AE3A0" w14:textId="77777777" w:rsidR="00522720" w:rsidRDefault="00522720">
            <w:r>
              <w:t>83.929843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B5FF2" w14:textId="77777777" w:rsidR="00522720" w:rsidRDefault="00522720">
            <w:r>
              <w:t>93.550225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C9331" w14:textId="77777777" w:rsidR="00522720" w:rsidRDefault="00522720">
            <w:r>
              <w:t>96.099437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79532" w14:textId="77777777" w:rsidR="00522720" w:rsidRDefault="00522720">
            <w:r>
              <w:t>89.883853</w:t>
            </w:r>
          </w:p>
        </w:tc>
      </w:tr>
      <w:tr w:rsidR="00522720" w14:paraId="31CEEFDE" w14:textId="77777777" w:rsidTr="0052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172AC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Medium (1000-2000)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8ED7A" w14:textId="77777777" w:rsidR="00522720" w:rsidRDefault="00522720">
            <w:r>
              <w:t>83.374684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B359D" w14:textId="77777777" w:rsidR="00522720" w:rsidRDefault="00522720">
            <w:r>
              <w:t>83.864438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4AF24" w14:textId="77777777" w:rsidR="00522720" w:rsidRDefault="00522720">
            <w:r>
              <w:t>93.599695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FA929" w14:textId="77777777" w:rsidR="00522720" w:rsidRDefault="00522720">
            <w:r>
              <w:t>96.790680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93C66" w14:textId="77777777" w:rsidR="00522720" w:rsidRDefault="00522720">
            <w:r>
              <w:t>90.621535</w:t>
            </w:r>
          </w:p>
        </w:tc>
      </w:tr>
      <w:tr w:rsidR="00522720" w14:paraId="482FE7EE" w14:textId="77777777" w:rsidTr="0052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4F72E" w14:textId="77777777" w:rsidR="00522720" w:rsidRDefault="00522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Large (2000-5000)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B9042" w14:textId="77777777" w:rsidR="00522720" w:rsidRDefault="00522720">
            <w:r>
              <w:t>77.746417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9E0DC" w14:textId="77777777" w:rsidR="00522720" w:rsidRDefault="00522720">
            <w:r>
              <w:t>81.344493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42A32" w14:textId="77777777" w:rsidR="00522720" w:rsidRDefault="00522720">
            <w:r>
              <w:t>69.963361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38492" w14:textId="77777777" w:rsidR="00522720" w:rsidRDefault="00522720">
            <w:r>
              <w:t>82.766634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1CF07" w14:textId="77777777" w:rsidR="00522720" w:rsidRDefault="00522720">
            <w:r>
              <w:t>58.286003</w:t>
            </w:r>
          </w:p>
        </w:tc>
      </w:tr>
    </w:tbl>
    <w:p w14:paraId="4013D0D6" w14:textId="77777777" w:rsidR="00522720" w:rsidRDefault="00522720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C178642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868B37" w14:textId="77777777" w:rsidR="00726673" w:rsidRPr="00494EFA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494EFA">
        <w:rPr>
          <w:rFonts w:ascii="Calibri" w:hAnsi="Calibri" w:cs="Calibri"/>
          <w:b/>
          <w:bCs/>
          <w:sz w:val="22"/>
          <w:szCs w:val="22"/>
        </w:rPr>
        <w:t>Cost Per Student Analysis</w:t>
      </w:r>
    </w:p>
    <w:p w14:paraId="7D976C68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26D129" w14:textId="3465B2D9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most surprising finding is that as spending per student increases, </w:t>
      </w:r>
      <w:r w:rsidR="00D86EF9">
        <w:rPr>
          <w:rFonts w:ascii="Calibri" w:hAnsi="Calibri" w:cs="Calibri"/>
          <w:sz w:val="22"/>
          <w:szCs w:val="22"/>
        </w:rPr>
        <w:t>the passing</w:t>
      </w:r>
      <w:r>
        <w:rPr>
          <w:rFonts w:ascii="Calibri" w:hAnsi="Calibri" w:cs="Calibri"/>
          <w:sz w:val="22"/>
          <w:szCs w:val="22"/>
        </w:rPr>
        <w:t xml:space="preserve"> percentage decreases. Once again, while spending less might look like it leads to significantly higher scores, the real takeaway is that charter schools are more efficient than district schools. </w:t>
      </w:r>
    </w:p>
    <w:p w14:paraId="2D32E3A5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53EAF0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four spending ranges encompass a relatively small 13% difference in spending with $581 per student being the lowest and $655 being the highest. The lowest per student budget of a charter school is $628, and all charter schools except one are below that spending amount. </w:t>
      </w:r>
    </w:p>
    <w:p w14:paraId="12EAD4FC" w14:textId="77777777" w:rsidR="00522720" w:rsidRDefault="00522720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522"/>
        <w:gridCol w:w="1655"/>
        <w:gridCol w:w="1301"/>
        <w:gridCol w:w="1434"/>
        <w:gridCol w:w="1403"/>
      </w:tblGrid>
      <w:tr w:rsidR="003E56D5" w14:paraId="63A13D5F" w14:textId="77777777" w:rsidTr="003E56D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0CFF9" w14:textId="77777777" w:rsidR="003E56D5" w:rsidRDefault="003E56D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77D84" w14:textId="77777777" w:rsidR="003E56D5" w:rsidRDefault="003E56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706C0" w14:textId="77777777" w:rsidR="003E56D5" w:rsidRDefault="003E56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AA666" w14:textId="77777777" w:rsidR="003E56D5" w:rsidRDefault="003E56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Passing 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E8F2A" w14:textId="77777777" w:rsidR="003E56D5" w:rsidRDefault="003E56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Passing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71EB1" w14:textId="77777777" w:rsidR="003E56D5" w:rsidRDefault="003E56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Overall Passing</w:t>
            </w:r>
          </w:p>
        </w:tc>
      </w:tr>
      <w:tr w:rsidR="003E56D5" w14:paraId="52A6025B" w14:textId="77777777" w:rsidTr="003E56D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C53E2" w14:textId="77777777" w:rsidR="003E56D5" w:rsidRDefault="003E56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Spending Ranges (Per Student)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ACDEF" w14:textId="77777777" w:rsidR="003E56D5" w:rsidRDefault="003E56D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B1294" w14:textId="77777777" w:rsidR="003E56D5" w:rsidRDefault="003E5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49FEB" w14:textId="77777777" w:rsidR="003E56D5" w:rsidRDefault="003E5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7C048" w14:textId="77777777" w:rsidR="003E56D5" w:rsidRDefault="003E5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84FB0" w14:textId="77777777" w:rsidR="003E56D5" w:rsidRDefault="003E56D5">
            <w:pPr>
              <w:jc w:val="center"/>
              <w:rPr>
                <w:sz w:val="20"/>
                <w:szCs w:val="20"/>
              </w:rPr>
            </w:pPr>
          </w:p>
        </w:tc>
      </w:tr>
      <w:tr w:rsidR="003E56D5" w14:paraId="09C64C54" w14:textId="77777777" w:rsidTr="003E56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53AB8" w14:textId="77777777" w:rsidR="003E56D5" w:rsidRDefault="003E56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&lt;$585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A80A1" w14:textId="77777777" w:rsidR="003E56D5" w:rsidRDefault="003E56D5">
            <w:r>
              <w:t>83.455399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58DE2" w14:textId="77777777" w:rsidR="003E56D5" w:rsidRDefault="003E56D5">
            <w:r>
              <w:t>83.933814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0F86E" w14:textId="77777777" w:rsidR="003E56D5" w:rsidRDefault="003E56D5">
            <w:r>
              <w:t>93.460096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7924B" w14:textId="77777777" w:rsidR="003E56D5" w:rsidRDefault="003E56D5">
            <w:r>
              <w:t>96.610877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40451" w14:textId="77777777" w:rsidR="003E56D5" w:rsidRDefault="003E56D5">
            <w:r>
              <w:t>90.369459</w:t>
            </w:r>
          </w:p>
        </w:tc>
      </w:tr>
      <w:tr w:rsidR="003E56D5" w14:paraId="6047C12C" w14:textId="77777777" w:rsidTr="003E56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AEF23" w14:textId="77777777" w:rsidR="003E56D5" w:rsidRDefault="003E56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$585-630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4C32A" w14:textId="77777777" w:rsidR="003E56D5" w:rsidRDefault="003E56D5">
            <w:r>
              <w:t>81.899826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01DF7" w14:textId="77777777" w:rsidR="003E56D5" w:rsidRDefault="003E56D5">
            <w:r>
              <w:t>83.155286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A625F" w14:textId="77777777" w:rsidR="003E56D5" w:rsidRDefault="003E56D5">
            <w:r>
              <w:t>87.133538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CC7F3" w14:textId="77777777" w:rsidR="003E56D5" w:rsidRDefault="003E56D5">
            <w:r>
              <w:t>92.718205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FB5A1" w14:textId="77777777" w:rsidR="003E56D5" w:rsidRDefault="003E56D5">
            <w:r>
              <w:t>81.418596</w:t>
            </w:r>
          </w:p>
        </w:tc>
      </w:tr>
      <w:tr w:rsidR="003E56D5" w14:paraId="5F68274C" w14:textId="77777777" w:rsidTr="003E56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A8D1A" w14:textId="77777777" w:rsidR="003E56D5" w:rsidRDefault="003E56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$630-645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3E94C" w14:textId="77777777" w:rsidR="003E56D5" w:rsidRDefault="003E56D5">
            <w:r>
              <w:t>78.518855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9F40F" w14:textId="77777777" w:rsidR="003E56D5" w:rsidRDefault="003E56D5">
            <w:r>
              <w:t>81.624473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4A910" w14:textId="77777777" w:rsidR="003E56D5" w:rsidRDefault="003E56D5">
            <w:r>
              <w:t>73.484209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67479" w14:textId="77777777" w:rsidR="003E56D5" w:rsidRDefault="003E56D5">
            <w:r>
              <w:t>84.391793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F1F80" w14:textId="77777777" w:rsidR="003E56D5" w:rsidRDefault="003E56D5">
            <w:r>
              <w:t>62.857656</w:t>
            </w:r>
          </w:p>
        </w:tc>
      </w:tr>
      <w:tr w:rsidR="003E56D5" w14:paraId="72169CBB" w14:textId="77777777" w:rsidTr="003E56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8787C" w14:textId="77777777" w:rsidR="003E56D5" w:rsidRDefault="003E56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$645-680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2F9C5" w14:textId="77777777" w:rsidR="003E56D5" w:rsidRDefault="003E56D5">
            <w:r>
              <w:t>76.997210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4FAC5" w14:textId="77777777" w:rsidR="003E56D5" w:rsidRDefault="003E56D5">
            <w:r>
              <w:t>81.027843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52950" w14:textId="77777777" w:rsidR="003E56D5" w:rsidRDefault="003E56D5">
            <w:r>
              <w:t>66.164813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EC26C" w14:textId="77777777" w:rsidR="003E56D5" w:rsidRDefault="003E56D5">
            <w:r>
              <w:t>81.133951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57356" w14:textId="77777777" w:rsidR="003E56D5" w:rsidRDefault="003E56D5">
            <w:r>
              <w:t>53.526855</w:t>
            </w:r>
          </w:p>
        </w:tc>
      </w:tr>
    </w:tbl>
    <w:p w14:paraId="6067160A" w14:textId="77777777" w:rsidR="00522720" w:rsidRDefault="00522720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268C34A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18E060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648B55" w14:textId="77777777" w:rsidR="00726673" w:rsidRPr="00494EFA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494EFA">
        <w:rPr>
          <w:rFonts w:ascii="Calibri" w:hAnsi="Calibri" w:cs="Calibri"/>
          <w:b/>
          <w:bCs/>
          <w:sz w:val="22"/>
          <w:szCs w:val="22"/>
        </w:rPr>
        <w:t>By Grade analysis</w:t>
      </w:r>
    </w:p>
    <w:p w14:paraId="05420829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3FBCEC" w14:textId="77777777" w:rsidR="00726673" w:rsidRDefault="0072667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are only very minor differences across the scores per grade at each school, indicating that the grade of the student is nowhere near as impactful </w:t>
      </w:r>
      <w:proofErr w:type="gramStart"/>
      <w:r>
        <w:rPr>
          <w:rFonts w:ascii="Calibri" w:hAnsi="Calibri" w:cs="Calibri"/>
          <w:sz w:val="22"/>
          <w:szCs w:val="22"/>
        </w:rPr>
        <w:t>of</w:t>
      </w:r>
      <w:proofErr w:type="gramEnd"/>
      <w:r>
        <w:rPr>
          <w:rFonts w:ascii="Calibri" w:hAnsi="Calibri" w:cs="Calibri"/>
          <w:sz w:val="22"/>
          <w:szCs w:val="22"/>
        </w:rPr>
        <w:t xml:space="preserve"> the school the student attends. This is true for math and reading. </w:t>
      </w:r>
    </w:p>
    <w:p w14:paraId="39576B79" w14:textId="77777777" w:rsidR="00C413A3" w:rsidRDefault="00C413A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07C365E" w14:textId="77777777" w:rsidR="00C413A3" w:rsidRDefault="00C413A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8EFEE90" w14:textId="77777777" w:rsidR="00C413A3" w:rsidRDefault="00C413A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B2E156" w14:textId="77777777" w:rsidR="00C413A3" w:rsidRDefault="00C413A3" w:rsidP="007266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EE8521" w14:textId="77777777" w:rsidR="00E71477" w:rsidRDefault="00E71477"/>
    <w:sectPr w:rsidR="00E7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73"/>
    <w:rsid w:val="00131743"/>
    <w:rsid w:val="00165CFD"/>
    <w:rsid w:val="001F2EC0"/>
    <w:rsid w:val="00324BF5"/>
    <w:rsid w:val="003E56D5"/>
    <w:rsid w:val="00494EFA"/>
    <w:rsid w:val="00522720"/>
    <w:rsid w:val="006243CB"/>
    <w:rsid w:val="006D75EF"/>
    <w:rsid w:val="00726673"/>
    <w:rsid w:val="00C377B8"/>
    <w:rsid w:val="00C413A3"/>
    <w:rsid w:val="00D86EF9"/>
    <w:rsid w:val="00E71477"/>
    <w:rsid w:val="00F5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697D"/>
  <w15:chartTrackingRefBased/>
  <w15:docId w15:val="{5AEE66EC-9626-43F0-BF02-36479B0C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2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4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wersonske</dc:creator>
  <cp:keywords/>
  <dc:description/>
  <cp:lastModifiedBy>michael wersonske</cp:lastModifiedBy>
  <cp:revision>10</cp:revision>
  <dcterms:created xsi:type="dcterms:W3CDTF">2023-10-10T18:50:00Z</dcterms:created>
  <dcterms:modified xsi:type="dcterms:W3CDTF">2023-10-10T18:56:00Z</dcterms:modified>
</cp:coreProperties>
</file>