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line="276"/>
        <w:jc w:val="left"/>
      </w:pPr>
      <w:r>
        <w:rPr>
          <w:rFonts w:ascii="Arial" w:cs="Arial" w:eastAsia="Arial" w:hAnsi="Arial"/>
          <w:b w:val="false"/>
          <w:bCs w:val="false"/>
          <w:i w:val="false"/>
          <w:iCs w:val="false"/>
          <w:color w:val="1F1F1F"/>
          <w:sz w:val="20"/>
          <w:szCs w:val="20"/>
        </w:rPr>
        <w:t xml:space="preserve"/>
      </w:r>
    </w:p>
    <w:p>
      <w:pPr>
        <w:spacing w:before="0" w:after="60" w:line="276"/>
        <w:jc w:val="center"/>
      </w:pPr>
      <w:r>
        <w:rPr>
          <w:rFonts w:ascii="Arial" w:cs="Arial" w:eastAsia="Arial" w:hAnsi="Arial"/>
          <w:b/>
          <w:bCs/>
          <w:i w:val="false"/>
          <w:iCs w:val="false"/>
          <w:color w:val="7B3F1E"/>
          <w:sz w:val="34"/>
          <w:szCs w:val="34"/>
        </w:rPr>
        <w:t xml:space="preserve">WARM CINNAMON BUSINESS IT SOLUTIONS</w:t>
      </w:r>
    </w:p>
    <w:p>
      <w:pPr>
        <w:spacing w:before="0" w:after="40" w:line="276"/>
        <w:jc w:val="center"/>
      </w:pPr>
      <w:r>
        <w:rPr>
          <w:rFonts w:ascii="Arial" w:cs="Arial" w:eastAsia="Arial" w:hAnsi="Arial"/>
          <w:b/>
          <w:bCs/>
          <w:i w:val="false"/>
          <w:iCs w:val="false"/>
          <w:color w:val="A0522D"/>
          <w:sz w:val="28"/>
          <w:szCs w:val="28"/>
        </w:rPr>
        <w:t xml:space="preserve">SOFTWARE-AS-A-SERVICE (SaaS)</w:t>
      </w:r>
    </w:p>
    <w:p>
      <w:pPr>
        <w:spacing w:before="0" w:after="80" w:line="276"/>
        <w:jc w:val="center"/>
      </w:pPr>
      <w:r>
        <w:rPr>
          <w:rFonts w:ascii="Arial" w:cs="Arial" w:eastAsia="Arial" w:hAnsi="Arial"/>
          <w:b/>
          <w:bCs/>
          <w:i w:val="false"/>
          <w:iCs w:val="false"/>
          <w:color w:val="A0522D"/>
          <w:sz w:val="28"/>
          <w:szCs w:val="28"/>
        </w:rPr>
        <w:t xml:space="preserve">SUBSCRIPTION AGREEMENT</w:t>
      </w:r>
    </w:p>
    <w:p>
      <w:pPr>
        <w:spacing w:before="0" w:after="40" w:line="276"/>
        <w:jc w:val="center"/>
      </w:pPr>
      <w:r>
        <w:rPr>
          <w:rFonts w:ascii="Arial" w:cs="Arial" w:eastAsia="Arial" w:hAnsi="Arial"/>
          <w:b w:val="false"/>
          <w:bCs w:val="false"/>
          <w:i/>
          <w:iCs/>
          <w:color w:val="4A4A4A"/>
          <w:sz w:val="22"/>
          <w:szCs w:val="22"/>
        </w:rPr>
        <w:t xml:space="preserve">Cloud-Based E-Commerce Platform &amp; IT Solutions</w:t>
      </w:r>
    </w:p>
    <w:p>
      <w:pPr>
        <w:spacing w:before="0" w:after="240" w:line="276"/>
        <w:jc w:val="center"/>
      </w:pPr>
      <w:r>
        <w:rPr>
          <w:rFonts w:ascii="Arial" w:cs="Arial" w:eastAsia="Arial" w:hAnsi="Arial"/>
          <w:b w:val="false"/>
          <w:bCs w:val="false"/>
          <w:i w:val="false"/>
          <w:iCs w:val="false"/>
          <w:color w:val="4A4A4A"/>
          <w:sz w:val="20"/>
          <w:szCs w:val="20"/>
        </w:rPr>
        <w:t xml:space="preserve">Version 1.1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B3F1E" w:sz="6"/>
              <w:left w:val="single" w:color="7B3F1E" w:sz="6"/>
              <w:bottom w:val="single" w:color="7B3F1E" w:sz="6"/>
              <w:right w:val="single" w:color="7B3F1E" w:sz="6"/>
            </w:tcBorders>
            <w:shd w:fill="7B3F1E" w:val="clear"/>
            <w:tcMar>
              <w:top w:type="dxa" w:w="120"/>
              <w:left w:type="dxa" w:w="180"/>
              <w:bottom w:type="dxa" w:w="120"/>
              <w:right w:type="dxa" w:w="100"/>
            </w:tcMar>
            <w:vAlign w:val="center"/>
          </w:tcPr>
          <w:p>
            <w:pPr>
              <w:spacing w:before="0" w:after="0" w:line="276"/>
              <w:jc w:val="left"/>
            </w:pPr>
            <w:r>
              <w:rPr>
                <w:rFonts w:ascii="Arial" w:cs="Arial" w:eastAsia="Arial" w:hAnsi="Arial"/>
                <w:b/>
                <w:bCs/>
                <w:i w:val="false"/>
                <w:iCs w:val="false"/>
                <w:color w:val="FFFFFF"/>
                <w:sz w:val="19"/>
                <w:szCs w:val="19"/>
              </w:rPr>
              <w:t xml:space="preserve">PROVIDER</w:t>
            </w:r>
          </w:p>
        </w:tc>
        <w:tc>
          <w:tcPr>
            <w:tcW w:type="dxa" w:w="7920"/>
            <w:tcBorders>
              <w:top w:val="single" w:color="D4B896" w:sz="4"/>
              <w:left w:val="single" w:color="D4B896" w:sz="4"/>
              <w:bottom w:val="single" w:color="D4B896" w:sz="4"/>
              <w:right w:val="single" w:color="D4B896" w:sz="4"/>
            </w:tcBorders>
            <w:shd w:fill="FFFFFF" w:val="clear"/>
            <w:tcMar>
              <w:top w:type="dxa" w:w="120"/>
              <w:left w:type="dxa" w:w="180"/>
              <w:bottom w:type="dxa" w:w="120"/>
              <w:right w:type="dxa" w:w="100"/>
            </w:tcMar>
          </w:tcPr>
          <w:p>
            <w:pPr>
              <w:spacing w:before="0" w:after="0" w:line="276"/>
              <w:jc w:val="left"/>
            </w:pPr>
            <w:r>
              <w:rPr>
                <w:rFonts w:ascii="Arial" w:cs="Arial" w:eastAsia="Arial" w:hAnsi="Arial"/>
                <w:b w:val="false"/>
                <w:bCs w:val="false"/>
                <w:i w:val="false"/>
                <w:iCs w:val="false"/>
                <w:color w:val="1F1F1F"/>
                <w:sz w:val="20"/>
                <w:szCs w:val="20"/>
              </w:rPr>
              <w:t xml:space="preserve">Warm Cinnamon Business IT Solutions, a business entity registered in the Philippines, hereinafter referred to as the “Provider”.</w:t>
            </w:r>
          </w:p>
        </w:tc>
      </w:tr>
      <w:tr>
        <w:tc>
          <w:tcPr>
            <w:tcW w:type="dxa" w:w="1440"/>
            <w:tcBorders>
              <w:top w:val="single" w:color="7B3F1E" w:sz="6"/>
              <w:left w:val="single" w:color="7B3F1E" w:sz="6"/>
              <w:bottom w:val="single" w:color="7B3F1E" w:sz="6"/>
              <w:right w:val="single" w:color="7B3F1E" w:sz="6"/>
            </w:tcBorders>
            <w:shd w:fill="7B3F1E" w:val="clear"/>
            <w:tcMar>
              <w:top w:type="dxa" w:w="120"/>
              <w:left w:type="dxa" w:w="180"/>
              <w:bottom w:type="dxa" w:w="120"/>
              <w:right w:type="dxa" w:w="100"/>
            </w:tcMar>
            <w:vAlign w:val="center"/>
          </w:tcPr>
          <w:p>
            <w:pPr>
              <w:spacing w:before="0" w:after="0" w:line="276"/>
              <w:jc w:val="left"/>
            </w:pPr>
            <w:r>
              <w:rPr>
                <w:rFonts w:ascii="Arial" w:cs="Arial" w:eastAsia="Arial" w:hAnsi="Arial"/>
                <w:b/>
                <w:bCs/>
                <w:i w:val="false"/>
                <w:iCs w:val="false"/>
                <w:color w:val="FFFFFF"/>
                <w:sz w:val="19"/>
                <w:szCs w:val="19"/>
              </w:rPr>
              <w:t xml:space="preserve">CLIENT</w:t>
            </w:r>
          </w:p>
        </w:tc>
        <w:tc>
          <w:tcPr>
            <w:tcW w:type="dxa" w:w="7920"/>
            <w:tcBorders>
              <w:top w:val="single" w:color="D4B896" w:sz="4"/>
              <w:left w:val="single" w:color="D4B896" w:sz="4"/>
              <w:bottom w:val="single" w:color="D4B896" w:sz="4"/>
              <w:right w:val="single" w:color="D4B896" w:sz="4"/>
            </w:tcBorders>
            <w:shd w:fill="FFFFFF" w:val="clear"/>
            <w:tcMar>
              <w:top w:type="dxa" w:w="120"/>
              <w:left w:type="dxa" w:w="180"/>
              <w:bottom w:type="dxa" w:w="120"/>
              <w:right w:type="dxa" w:w="100"/>
            </w:tcMar>
          </w:tcPr>
          <w:p>
            <w:pPr>
              <w:spacing w:before="0" w:after="0" w:line="276"/>
              <w:jc w:val="left"/>
            </w:pPr>
            <w:r>
              <w:rPr>
                <w:rFonts w:ascii="Arial" w:cs="Arial" w:eastAsia="Arial" w:hAnsi="Arial"/>
                <w:b w:val="false"/>
                <w:bCs w:val="false"/>
                <w:i w:val="false"/>
                <w:iCs w:val="false"/>
                <w:color w:val="1F1F1F"/>
                <w:sz w:val="20"/>
                <w:szCs w:val="20"/>
              </w:rPr>
              <w:t xml:space="preserve">[Client Business Name], hereinafter referred to as the “Client”.</w:t>
            </w:r>
          </w:p>
        </w:tc>
      </w:tr>
    </w:tbl>
    <w:p>
      <w:pPr>
        <w:spacing w:before="0" w:after="80" w:line="276"/>
        <w:jc w:val="left"/>
      </w:pPr>
      <w:r>
        <w:rPr>
          <w:rFonts w:ascii="Arial" w:cs="Arial" w:eastAsia="Arial" w:hAnsi="Arial"/>
          <w:b w:val="false"/>
          <w:bCs w:val="false"/>
          <w:i w:val="false"/>
          <w:iCs w:val="false"/>
          <w:color w:val="1F1F1F"/>
          <w:sz w:val="20"/>
          <w:szCs w:val="20"/>
        </w:rPr>
        <w:t xml:space="preserve"/>
      </w:r>
    </w:p>
    <w:p>
      <w:pPr>
        <w:spacing w:before="0" w:after="40" w:line="276"/>
        <w:jc w:val="left"/>
      </w:pPr>
      <w:r>
        <w:rPr>
          <w:rFonts w:ascii="Arial" w:cs="Arial" w:eastAsia="Arial" w:hAnsi="Arial"/>
          <w:b/>
          <w:bCs/>
          <w:i w:val="false"/>
          <w:iCs w:val="false"/>
          <w:color w:val="1F1F1F"/>
          <w:sz w:val="20"/>
          <w:szCs w:val="20"/>
        </w:rPr>
        <w:t xml:space="preserve">This Agreement is entered into as of:</w:t>
      </w:r>
    </w:p>
    <w:p>
      <w:pPr>
        <w:spacing w:before="0" w:after="160" w:line="276"/>
        <w:jc w:val="left"/>
      </w:pPr>
      <w:r>
        <w:rPr>
          <w:rFonts w:ascii="Arial" w:cs="Arial" w:eastAsia="Arial" w:hAnsi="Arial"/>
          <w:b w:val="false"/>
          <w:bCs w:val="false"/>
          <w:i w:val="false"/>
          <w:iCs w:val="false"/>
          <w:color w:val="4A4A4A"/>
          <w:sz w:val="20"/>
          <w:szCs w:val="20"/>
        </w:rPr>
        <w:t xml:space="preserve">Effective Date:  ___________________________</w:t>
      </w:r>
    </w:p>
    <w:p>
      <w:pPr>
        <w:spacing w:before="0" w:after="4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1: SUBSCRIPTION PLAN &amp; FEES</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0" w:after="80" w:line="276"/>
        <w:jc w:val="left"/>
      </w:pPr>
      <w:r>
        <w:rPr>
          <w:rFonts w:ascii="Arial" w:cs="Arial" w:eastAsia="Arial" w:hAnsi="Arial"/>
          <w:b w:val="false"/>
          <w:bCs w:val="false"/>
          <w:i w:val="false"/>
          <w:iCs w:val="false"/>
          <w:color w:val="1F1F1F"/>
          <w:sz w:val="20"/>
          <w:szCs w:val="20"/>
        </w:rPr>
        <w:t xml:space="preserve">The Client agrees to subscribe to the following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PLAN SELECTED</w:t>
            </w:r>
          </w:p>
        </w:tc>
        <w:tc>
          <w:tcPr>
            <w:tcW w:type="dxa" w:w="3120"/>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MONTHLY FEE (PHP)</w:t>
            </w:r>
          </w:p>
        </w:tc>
        <w:tc>
          <w:tcPr>
            <w:tcW w:type="dxa" w:w="3120"/>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BILLING CYCLE</w:t>
            </w:r>
          </w:p>
        </w:tc>
      </w:tr>
      <w:tr>
        <w:tc>
          <w:tcPr>
            <w:tcW w:type="dxa" w:w="3120"/>
            <w:tcBorders>
              <w:top w:val="single" w:color="D4B896" w:sz="4"/>
              <w:left w:val="single" w:color="D4B896" w:sz="4"/>
              <w:bottom w:val="single" w:color="D4B896" w:sz="4"/>
              <w:right w:val="single" w:color="D4B896" w:sz="4"/>
            </w:tcBorders>
            <w:shd w:fill="F5F0EB" w:val="clear"/>
            <w:tcMar>
              <w:top w:type="dxa" w:w="120"/>
              <w:left w:type="dxa" w:w="140"/>
              <w:bottom w:type="dxa" w:w="120"/>
              <w:right w:type="dxa" w:w="100"/>
            </w:tcMar>
          </w:tcPr>
          <w:p>
            <w:pPr>
              <w:spacing w:before="0" w:after="0" w:line="276"/>
              <w:jc w:val="left"/>
            </w:pPr>
            <w:r>
              <w:rPr>
                <w:rFonts w:ascii="Arial" w:cs="Arial" w:eastAsia="Arial" w:hAnsi="Arial"/>
                <w:b w:val="false"/>
                <w:bCs w:val="false"/>
                <w:i w:val="false"/>
                <w:iCs w:val="false"/>
                <w:color w:val="1F1F1F"/>
                <w:sz w:val="20"/>
                <w:szCs w:val="20"/>
              </w:rPr>
              <w:t xml:space="preserve">☐ Starter    ☐ Growth    ☐ Enterprise</w:t>
            </w:r>
          </w:p>
        </w:tc>
        <w:tc>
          <w:tcPr>
            <w:tcW w:type="dxa" w:w="3120"/>
            <w:tcBorders>
              <w:top w:val="single" w:color="D4B896" w:sz="4"/>
              <w:left w:val="single" w:color="D4B896" w:sz="4"/>
              <w:bottom w:val="single" w:color="D4B896" w:sz="4"/>
              <w:right w:val="single" w:color="D4B896" w:sz="4"/>
            </w:tcBorders>
            <w:shd w:fill="F5F0EB" w:val="clear"/>
            <w:tcMar>
              <w:top w:type="dxa" w:w="120"/>
              <w:left w:type="dxa" w:w="140"/>
              <w:bottom w:type="dxa" w:w="120"/>
              <w:right w:type="dxa" w:w="100"/>
            </w:tcMar>
          </w:tcPr>
          <w:p>
            <w:pPr>
              <w:spacing w:before="0" w:after="0" w:line="276"/>
              <w:jc w:val="left"/>
            </w:pPr>
            <w:r>
              <w:rPr>
                <w:rFonts w:ascii="Arial" w:cs="Arial" w:eastAsia="Arial" w:hAnsi="Arial"/>
                <w:b w:val="false"/>
                <w:bCs w:val="false"/>
                <w:i w:val="false"/>
                <w:iCs w:val="false"/>
                <w:color w:val="4A4A4A"/>
                <w:sz w:val="20"/>
                <w:szCs w:val="20"/>
              </w:rPr>
              <w:t xml:space="preserve">₱ ______________________</w:t>
            </w:r>
          </w:p>
        </w:tc>
        <w:tc>
          <w:tcPr>
            <w:tcW w:type="dxa" w:w="3120"/>
            <w:tcBorders>
              <w:top w:val="single" w:color="D4B896" w:sz="4"/>
              <w:left w:val="single" w:color="D4B896" w:sz="4"/>
              <w:bottom w:val="single" w:color="D4B896" w:sz="4"/>
              <w:right w:val="single" w:color="D4B896" w:sz="4"/>
            </w:tcBorders>
            <w:shd w:fill="F5F0EB" w:val="clear"/>
            <w:tcMar>
              <w:top w:type="dxa" w:w="120"/>
              <w:left w:type="dxa" w:w="140"/>
              <w:bottom w:type="dxa" w:w="120"/>
              <w:right w:type="dxa" w:w="100"/>
            </w:tcMar>
          </w:tcPr>
          <w:p>
            <w:pPr>
              <w:spacing w:before="0" w:after="0" w:line="276"/>
              <w:jc w:val="left"/>
            </w:pPr>
            <w:r>
              <w:rPr>
                <w:rFonts w:ascii="Arial" w:cs="Arial" w:eastAsia="Arial" w:hAnsi="Arial"/>
                <w:b w:val="false"/>
                <w:bCs w:val="false"/>
                <w:i w:val="false"/>
                <w:iCs w:val="false"/>
                <w:color w:val="1F1F1F"/>
                <w:sz w:val="20"/>
                <w:szCs w:val="20"/>
              </w:rPr>
              <w:t xml:space="preserve">☐ Monthly    ☐ Annual</w:t>
            </w:r>
          </w:p>
        </w:tc>
      </w:tr>
    </w:tbl>
    <w:p>
      <w:pPr>
        <w:spacing w:before="0" w:after="8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FEE TYPE</w:t>
            </w:r>
          </w:p>
        </w:tc>
        <w:tc>
          <w:tcPr>
            <w:tcW w:type="dxa" w:w="6160"/>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DETAILS</w:t>
            </w:r>
          </w:p>
        </w:tc>
      </w:tr>
      <w:tr>
        <w:tc>
          <w:tcPr>
            <w:tcW w:type="dxa" w:w="3200"/>
            <w:tcBorders>
              <w:top w:val="single" w:color="D4B896" w:sz="4"/>
              <w:left w:val="single" w:color="D4B896" w:sz="4"/>
              <w:bottom w:val="single" w:color="D4B896" w:sz="4"/>
              <w:right w:val="single" w:color="D4B896" w:sz="4"/>
            </w:tcBorders>
            <w:shd w:fill="F5F0EB" w:val="clear"/>
            <w:tcMar>
              <w:top w:type="dxa" w:w="90"/>
              <w:left w:type="dxa" w:w="140"/>
              <w:bottom w:type="dxa" w:w="90"/>
              <w:right w:type="dxa" w:w="100"/>
            </w:tcMar>
          </w:tcPr>
          <w:p>
            <w:pPr>
              <w:spacing w:before="0" w:after="0" w:line="276"/>
              <w:jc w:val="left"/>
            </w:pPr>
            <w:r>
              <w:rPr>
                <w:rFonts w:ascii="Arial" w:cs="Arial" w:eastAsia="Arial" w:hAnsi="Arial"/>
                <w:b/>
                <w:bCs/>
                <w:i w:val="false"/>
                <w:iCs w:val="false"/>
                <w:color w:val="1F1F1F"/>
                <w:sz w:val="19"/>
                <w:szCs w:val="19"/>
              </w:rPr>
              <w:t xml:space="preserve">One-Time Setup Fee</w:t>
            </w:r>
          </w:p>
        </w:tc>
        <w:tc>
          <w:tcPr>
            <w:tcW w:type="dxa" w:w="6160"/>
            <w:tcBorders>
              <w:top w:val="single" w:color="D4B896" w:sz="4"/>
              <w:left w:val="single" w:color="D4B896" w:sz="4"/>
              <w:bottom w:val="single" w:color="D4B896" w:sz="4"/>
              <w:right w:val="single" w:color="D4B896" w:sz="4"/>
            </w:tcBorders>
            <w:shd w:fill="F5F0EB" w:val="clear"/>
            <w:tcMar>
              <w:top w:type="dxa" w:w="90"/>
              <w:left w:type="dxa" w:w="140"/>
              <w:bottom w:type="dxa" w:w="9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 _____________________ (due upon signing, non-refundable)</w:t>
            </w:r>
          </w:p>
        </w:tc>
      </w:tr>
      <w:tr>
        <w:tc>
          <w:tcPr>
            <w:tcW w:type="dxa" w:w="3200"/>
            <w:tcBorders>
              <w:top w:val="single" w:color="D4B896" w:sz="4"/>
              <w:left w:val="single" w:color="D4B896" w:sz="4"/>
              <w:bottom w:val="single" w:color="D4B896" w:sz="4"/>
              <w:right w:val="single" w:color="D4B896" w:sz="4"/>
            </w:tcBorders>
            <w:shd w:fill="FFFFFF" w:val="clear"/>
            <w:tcMar>
              <w:top w:type="dxa" w:w="90"/>
              <w:left w:type="dxa" w:w="140"/>
              <w:bottom w:type="dxa" w:w="90"/>
              <w:right w:type="dxa" w:w="100"/>
            </w:tcMar>
          </w:tcPr>
          <w:p>
            <w:pPr>
              <w:spacing w:before="0" w:after="0" w:line="276"/>
              <w:jc w:val="left"/>
            </w:pPr>
            <w:r>
              <w:rPr>
                <w:rFonts w:ascii="Arial" w:cs="Arial" w:eastAsia="Arial" w:hAnsi="Arial"/>
                <w:b/>
                <w:bCs/>
                <w:i w:val="false"/>
                <w:iCs w:val="false"/>
                <w:color w:val="1F1F1F"/>
                <w:sz w:val="19"/>
                <w:szCs w:val="19"/>
              </w:rPr>
              <w:t xml:space="preserve">Monthly Fee</w:t>
            </w:r>
          </w:p>
        </w:tc>
        <w:tc>
          <w:tcPr>
            <w:tcW w:type="dxa" w:w="6160"/>
            <w:tcBorders>
              <w:top w:val="single" w:color="D4B896" w:sz="4"/>
              <w:left w:val="single" w:color="D4B896" w:sz="4"/>
              <w:bottom w:val="single" w:color="D4B896" w:sz="4"/>
              <w:right w:val="single" w:color="D4B896" w:sz="4"/>
            </w:tcBorders>
            <w:shd w:fill="FFFFFF" w:val="clear"/>
            <w:tcMar>
              <w:top w:type="dxa" w:w="90"/>
              <w:left w:type="dxa" w:w="140"/>
              <w:bottom w:type="dxa" w:w="9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 _____________________ per month</w:t>
            </w:r>
          </w:p>
        </w:tc>
      </w:tr>
      <w:tr>
        <w:tc>
          <w:tcPr>
            <w:tcW w:type="dxa" w:w="3200"/>
            <w:tcBorders>
              <w:top w:val="single" w:color="D4B896" w:sz="4"/>
              <w:left w:val="single" w:color="D4B896" w:sz="4"/>
              <w:bottom w:val="single" w:color="D4B896" w:sz="4"/>
              <w:right w:val="single" w:color="D4B896" w:sz="4"/>
            </w:tcBorders>
            <w:shd w:fill="F5F0EB" w:val="clear"/>
            <w:tcMar>
              <w:top w:type="dxa" w:w="90"/>
              <w:left w:type="dxa" w:w="140"/>
              <w:bottom w:type="dxa" w:w="90"/>
              <w:right w:type="dxa" w:w="100"/>
            </w:tcMar>
          </w:tcPr>
          <w:p>
            <w:pPr>
              <w:spacing w:before="0" w:after="0" w:line="276"/>
              <w:jc w:val="left"/>
            </w:pPr>
            <w:r>
              <w:rPr>
                <w:rFonts w:ascii="Arial" w:cs="Arial" w:eastAsia="Arial" w:hAnsi="Arial"/>
                <w:b/>
                <w:bCs/>
                <w:i w:val="false"/>
                <w:iCs w:val="false"/>
                <w:color w:val="1F1F1F"/>
                <w:sz w:val="19"/>
                <w:szCs w:val="19"/>
              </w:rPr>
              <w:t xml:space="preserve">Annual Total (if Annual billing)</w:t>
            </w:r>
          </w:p>
        </w:tc>
        <w:tc>
          <w:tcPr>
            <w:tcW w:type="dxa" w:w="6160"/>
            <w:tcBorders>
              <w:top w:val="single" w:color="D4B896" w:sz="4"/>
              <w:left w:val="single" w:color="D4B896" w:sz="4"/>
              <w:bottom w:val="single" w:color="D4B896" w:sz="4"/>
              <w:right w:val="single" w:color="D4B896" w:sz="4"/>
            </w:tcBorders>
            <w:shd w:fill="F5F0EB" w:val="clear"/>
            <w:tcMar>
              <w:top w:type="dxa" w:w="90"/>
              <w:left w:type="dxa" w:w="140"/>
              <w:bottom w:type="dxa" w:w="9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 _____________________ (Monthly Fee × 12, paid upfront)</w:t>
            </w:r>
          </w:p>
        </w:tc>
      </w:tr>
      <w:tr>
        <w:tc>
          <w:tcPr>
            <w:tcW w:type="dxa" w:w="3200"/>
            <w:tcBorders>
              <w:top w:val="single" w:color="D4B896" w:sz="4"/>
              <w:left w:val="single" w:color="D4B896" w:sz="4"/>
              <w:bottom w:val="single" w:color="D4B896" w:sz="4"/>
              <w:right w:val="single" w:color="D4B896" w:sz="4"/>
            </w:tcBorders>
            <w:shd w:fill="FFFFFF" w:val="clear"/>
            <w:tcMar>
              <w:top w:type="dxa" w:w="90"/>
              <w:left w:type="dxa" w:w="140"/>
              <w:bottom w:type="dxa" w:w="90"/>
              <w:right w:type="dxa" w:w="100"/>
            </w:tcMar>
          </w:tcPr>
          <w:p>
            <w:pPr>
              <w:spacing w:before="0" w:after="0" w:line="276"/>
              <w:jc w:val="left"/>
            </w:pPr>
            <w:r>
              <w:rPr>
                <w:rFonts w:ascii="Arial" w:cs="Arial" w:eastAsia="Arial" w:hAnsi="Arial"/>
                <w:b/>
                <w:bCs/>
                <w:i w:val="false"/>
                <w:iCs w:val="false"/>
                <w:color w:val="1F1F1F"/>
                <w:sz w:val="19"/>
                <w:szCs w:val="19"/>
              </w:rPr>
              <w:t xml:space="preserve">Contract Period (if Annual)</w:t>
            </w:r>
          </w:p>
        </w:tc>
        <w:tc>
          <w:tcPr>
            <w:tcW w:type="dxa" w:w="6160"/>
            <w:tcBorders>
              <w:top w:val="single" w:color="D4B896" w:sz="4"/>
              <w:left w:val="single" w:color="D4B896" w:sz="4"/>
              <w:bottom w:val="single" w:color="D4B896" w:sz="4"/>
              <w:right w:val="single" w:color="D4B896" w:sz="4"/>
            </w:tcBorders>
            <w:shd w:fill="FFFFFF" w:val="clear"/>
            <w:tcMar>
              <w:top w:type="dxa" w:w="90"/>
              <w:left w:type="dxa" w:w="140"/>
              <w:bottom w:type="dxa" w:w="9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_______________ to _______________ (365 days)</w:t>
            </w:r>
          </w:p>
        </w:tc>
      </w:tr>
      <w:tr>
        <w:tc>
          <w:tcPr>
            <w:tcW w:type="dxa" w:w="3200"/>
            <w:tcBorders>
              <w:top w:val="single" w:color="D4B896" w:sz="4"/>
              <w:left w:val="single" w:color="D4B896" w:sz="4"/>
              <w:bottom w:val="single" w:color="D4B896" w:sz="4"/>
              <w:right w:val="single" w:color="D4B896" w:sz="4"/>
            </w:tcBorders>
            <w:shd w:fill="F5F0EB" w:val="clear"/>
            <w:tcMar>
              <w:top w:type="dxa" w:w="90"/>
              <w:left w:type="dxa" w:w="140"/>
              <w:bottom w:type="dxa" w:w="90"/>
              <w:right w:type="dxa" w:w="100"/>
            </w:tcMar>
          </w:tcPr>
          <w:p>
            <w:pPr>
              <w:spacing w:before="0" w:after="0" w:line="276"/>
              <w:jc w:val="left"/>
            </w:pPr>
            <w:r>
              <w:rPr>
                <w:rFonts w:ascii="Arial" w:cs="Arial" w:eastAsia="Arial" w:hAnsi="Arial"/>
                <w:b/>
                <w:bCs/>
                <w:i w:val="false"/>
                <w:iCs w:val="false"/>
                <w:color w:val="1F1F1F"/>
                <w:sz w:val="19"/>
                <w:szCs w:val="19"/>
              </w:rPr>
              <w:t xml:space="preserve">Pro-Rated First Month (if applicable)</w:t>
            </w:r>
          </w:p>
        </w:tc>
        <w:tc>
          <w:tcPr>
            <w:tcW w:type="dxa" w:w="6160"/>
            <w:tcBorders>
              <w:top w:val="single" w:color="D4B896" w:sz="4"/>
              <w:left w:val="single" w:color="D4B896" w:sz="4"/>
              <w:bottom w:val="single" w:color="D4B896" w:sz="4"/>
              <w:right w:val="single" w:color="D4B896" w:sz="4"/>
            </w:tcBorders>
            <w:shd w:fill="F5F0EB" w:val="clear"/>
            <w:tcMar>
              <w:top w:type="dxa" w:w="90"/>
              <w:left w:type="dxa" w:w="140"/>
              <w:bottom w:type="dxa" w:w="9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 _____________________ = (Days Remaining Incl. Effective Date ÷ 30) × Monthly Fee</w:t>
            </w:r>
          </w:p>
        </w:tc>
      </w:tr>
      <w:tr>
        <w:tc>
          <w:tcPr>
            <w:tcW w:type="dxa" w:w="3200"/>
            <w:tcBorders>
              <w:top w:val="single" w:color="D4B896" w:sz="4"/>
              <w:left w:val="single" w:color="D4B896" w:sz="4"/>
              <w:bottom w:val="single" w:color="D4B896" w:sz="4"/>
              <w:right w:val="single" w:color="D4B896" w:sz="4"/>
            </w:tcBorders>
            <w:shd w:fill="FFFFFF" w:val="clear"/>
            <w:tcMar>
              <w:top w:type="dxa" w:w="90"/>
              <w:left w:type="dxa" w:w="140"/>
              <w:bottom w:type="dxa" w:w="90"/>
              <w:right w:type="dxa" w:w="100"/>
            </w:tcMar>
          </w:tcPr>
          <w:p>
            <w:pPr>
              <w:spacing w:before="0" w:after="0" w:line="276"/>
              <w:jc w:val="left"/>
            </w:pPr>
            <w:r>
              <w:rPr>
                <w:rFonts w:ascii="Arial" w:cs="Arial" w:eastAsia="Arial" w:hAnsi="Arial"/>
                <w:b/>
                <w:bCs/>
                <w:i w:val="false"/>
                <w:iCs w:val="false"/>
                <w:color w:val="1F1F1F"/>
                <w:sz w:val="19"/>
                <w:szCs w:val="19"/>
              </w:rPr>
              <w:t xml:space="preserve">Total Due Upon Signing</w:t>
            </w:r>
          </w:p>
        </w:tc>
        <w:tc>
          <w:tcPr>
            <w:tcW w:type="dxa" w:w="6160"/>
            <w:tcBorders>
              <w:top w:val="single" w:color="D4B896" w:sz="4"/>
              <w:left w:val="single" w:color="D4B896" w:sz="4"/>
              <w:bottom w:val="single" w:color="D4B896" w:sz="4"/>
              <w:right w:val="single" w:color="D4B896" w:sz="4"/>
            </w:tcBorders>
            <w:shd w:fill="FFFFFF" w:val="clear"/>
            <w:tcMar>
              <w:top w:type="dxa" w:w="90"/>
              <w:left w:type="dxa" w:w="140"/>
              <w:bottom w:type="dxa" w:w="9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 _____________________ (First Payment + Setup Fee)</w:t>
            </w:r>
          </w:p>
        </w:tc>
      </w:tr>
      <w:tr>
        <w:tc>
          <w:tcPr>
            <w:tcW w:type="dxa" w:w="3200"/>
            <w:tcBorders>
              <w:top w:val="single" w:color="D4B896" w:sz="4"/>
              <w:left w:val="single" w:color="D4B896" w:sz="4"/>
              <w:bottom w:val="single" w:color="D4B896" w:sz="4"/>
              <w:right w:val="single" w:color="D4B896" w:sz="4"/>
            </w:tcBorders>
            <w:shd w:fill="F5F0EB" w:val="clear"/>
            <w:tcMar>
              <w:top w:type="dxa" w:w="90"/>
              <w:left w:type="dxa" w:w="140"/>
              <w:bottom w:type="dxa" w:w="90"/>
              <w:right w:type="dxa" w:w="100"/>
            </w:tcMar>
          </w:tcPr>
          <w:p>
            <w:pPr>
              <w:spacing w:before="0" w:after="0" w:line="276"/>
              <w:jc w:val="left"/>
            </w:pPr>
            <w:r>
              <w:rPr>
                <w:rFonts w:ascii="Arial" w:cs="Arial" w:eastAsia="Arial" w:hAnsi="Arial"/>
                <w:b/>
                <w:bCs/>
                <w:i w:val="false"/>
                <w:iCs w:val="false"/>
                <w:color w:val="1F1F1F"/>
                <w:sz w:val="19"/>
                <w:szCs w:val="19"/>
              </w:rPr>
              <w:t xml:space="preserve">Late Payment Fee</w:t>
            </w:r>
          </w:p>
        </w:tc>
        <w:tc>
          <w:tcPr>
            <w:tcW w:type="dxa" w:w="6160"/>
            <w:tcBorders>
              <w:top w:val="single" w:color="D4B896" w:sz="4"/>
              <w:left w:val="single" w:color="D4B896" w:sz="4"/>
              <w:bottom w:val="single" w:color="D4B896" w:sz="4"/>
              <w:right w:val="single" w:color="D4B896" w:sz="4"/>
            </w:tcBorders>
            <w:shd w:fill="F5F0EB" w:val="clear"/>
            <w:tcMar>
              <w:top w:type="dxa" w:w="90"/>
              <w:left w:type="dxa" w:w="140"/>
              <w:bottom w:type="dxa" w:w="9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PHP 500 or 5% of monthly fee — whichever is higher</w:t>
            </w:r>
          </w:p>
        </w:tc>
      </w:tr>
    </w:tbl>
    <w:p>
      <w:pPr>
        <w:spacing w:before="0" w:after="10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22D" w:sz="8"/>
              <w:left w:val="single" w:color="A0522D" w:sz="8"/>
              <w:bottom w:val="single" w:color="A0522D" w:sz="8"/>
              <w:right w:val="single" w:color="A0522D" w:sz="8"/>
            </w:tcBorders>
            <w:shd w:fill="F5F0EB" w:val="clear"/>
            <w:tcMar>
              <w:top w:type="dxa" w:w="140"/>
              <w:left w:type="dxa" w:w="220"/>
              <w:bottom w:type="dxa" w:w="140"/>
              <w:right w:type="dxa" w:w="220"/>
            </w:tcMar>
          </w:tcPr>
          <w:p>
            <w:pPr>
              <w:spacing w:before="0" w:after="80" w:line="276"/>
              <w:jc w:val="left"/>
            </w:pPr>
            <w:r>
              <w:rPr>
                <w:rFonts w:ascii="Arial" w:cs="Arial" w:eastAsia="Arial" w:hAnsi="Arial"/>
                <w:b/>
                <w:bCs/>
                <w:i w:val="false"/>
                <w:iCs w:val="false"/>
                <w:color w:val="A0522D"/>
                <w:sz w:val="20"/>
                <w:szCs w:val="20"/>
              </w:rPr>
              <w:t xml:space="preserve">BILLING NOTES</w:t>
            </w:r>
          </w:p>
          <w:p>
            <w:pPr>
              <w:spacing w:before="0" w:after="50" w:line="276"/>
              <w:jc w:val="left"/>
            </w:pPr>
            <w:r>
              <w:rPr>
                <w:rFonts w:ascii="Arial" w:cs="Arial" w:eastAsia="Arial" w:hAnsi="Arial"/>
                <w:b w:val="false"/>
                <w:bCs w:val="false"/>
                <w:i w:val="false"/>
                <w:iCs w:val="false"/>
                <w:color w:val="1F1F1F"/>
                <w:sz w:val="20"/>
                <w:szCs w:val="20"/>
              </w:rPr>
              <w:t xml:space="preserve">•  Standard month = 30 days | Standard year = 365 days (applies to all calculations in this Agreement).</w:t>
            </w:r>
          </w:p>
          <w:p>
            <w:pPr>
              <w:spacing w:before="0" w:after="50" w:line="276"/>
              <w:jc w:val="left"/>
            </w:pPr>
            <w:r>
              <w:rPr>
                <w:rFonts w:ascii="Arial" w:cs="Arial" w:eastAsia="Arial" w:hAnsi="Arial"/>
                <w:b w:val="false"/>
                <w:bCs w:val="false"/>
                <w:i w:val="false"/>
                <w:iCs w:val="false"/>
                <w:color w:val="1F1F1F"/>
                <w:sz w:val="20"/>
                <w:szCs w:val="20"/>
              </w:rPr>
              <w:t xml:space="preserve">•  Monthly mid-month proration: if the effective date is after the 1st, the first invoice = (Days Remaining Including Effective Date ÷ 30) × Monthly Fee. Full billing starts on the 1st of the following month.</w:t>
            </w:r>
          </w:p>
          <w:p>
            <w:pPr>
              <w:spacing w:before="0" w:after="50" w:line="276"/>
              <w:jc w:val="left"/>
            </w:pPr>
            <w:r>
              <w:rPr>
                <w:rFonts w:ascii="Arial" w:cs="Arial" w:eastAsia="Arial" w:hAnsi="Arial"/>
                <w:b w:val="false"/>
                <w:bCs w:val="false"/>
                <w:i w:val="false"/>
                <w:iCs w:val="false"/>
                <w:color w:val="1F1F1F"/>
                <w:sz w:val="20"/>
                <w:szCs w:val="20"/>
              </w:rPr>
              <w:t xml:space="preserve">•  Annual billing: Monthly Fee × 12 paid upfront. No annual discount. No proration. Contract end = effective date + 365 days.</w:t>
            </w:r>
          </w:p>
          <w:p>
            <w:pPr>
              <w:spacing w:before="0" w:after="50" w:line="276"/>
              <w:jc w:val="left"/>
            </w:pPr>
            <w:r>
              <w:rPr>
                <w:rFonts w:ascii="Arial" w:cs="Arial" w:eastAsia="Arial" w:hAnsi="Arial"/>
                <w:b w:val="false"/>
                <w:bCs w:val="false"/>
                <w:i w:val="false"/>
                <w:iCs w:val="false"/>
                <w:color w:val="1F1F1F"/>
                <w:sz w:val="20"/>
                <w:szCs w:val="20"/>
              </w:rPr>
              <w:t xml:space="preserve">•  SLA credit = (Downtime Hours ÷ 720) × Monthly Fee  [720 = 30 days × 24 hrs].</w:t>
            </w:r>
          </w:p>
          <w:p>
            <w:pPr>
              <w:spacing w:before="0" w:after="0" w:line="276"/>
              <w:jc w:val="left"/>
            </w:pPr>
            <w:r>
              <w:rPr>
                <w:rFonts w:ascii="Arial" w:cs="Arial" w:eastAsia="Arial" w:hAnsi="Arial"/>
                <w:b w:val="false"/>
                <w:bCs w:val="false"/>
                <w:i w:val="false"/>
                <w:iCs w:val="false"/>
                <w:color w:val="1F1F1F"/>
                <w:sz w:val="20"/>
                <w:szCs w:val="20"/>
              </w:rPr>
              <w:t xml:space="preserve">•  Termination refund (with proper 30-day notice only): (Unused Prepaid Days After Termination Date ÷ 30) × Monthly Fee.</w:t>
            </w:r>
          </w:p>
        </w:tc>
      </w:tr>
    </w:tbl>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2: SUBSCRIPTION PLAN LIMITS</w:t>
            </w:r>
          </w:p>
        </w:tc>
      </w:tr>
    </w:tbl>
    <w:p>
      <w:pPr>
        <w:spacing w:before="0" w:after="4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FEATURE</w:t>
            </w:r>
          </w:p>
        </w:tc>
        <w:tc>
          <w:tcPr>
            <w:tcW w:type="dxa" w:w="2187"/>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STARTER</w:t>
            </w:r>
          </w:p>
        </w:tc>
        <w:tc>
          <w:tcPr>
            <w:tcW w:type="dxa" w:w="2187"/>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GROWTH</w:t>
            </w:r>
          </w:p>
        </w:tc>
        <w:tc>
          <w:tcPr>
            <w:tcW w:type="dxa" w:w="2186"/>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ENTERPRISE</w:t>
            </w:r>
          </w:p>
        </w:tc>
      </w:tr>
      <w:tr>
        <w:tc>
          <w:tcPr>
            <w:tcW w:type="dxa" w:w="280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Monthly Fee</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₱2,800</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₱8,500</w:t>
            </w:r>
          </w:p>
        </w:tc>
        <w:tc>
          <w:tcPr>
            <w:tcW w:type="dxa" w:w="2186"/>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₱22,000</w:t>
            </w:r>
          </w:p>
        </w:tc>
      </w:tr>
      <w:tr>
        <w:tc>
          <w:tcPr>
            <w:tcW w:type="dxa" w:w="2800"/>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One-Time Setup Fee</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₱2,800</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₱3,900</w:t>
            </w:r>
          </w:p>
        </w:tc>
        <w:tc>
          <w:tcPr>
            <w:tcW w:type="dxa" w:w="2186"/>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₱5,600</w:t>
            </w:r>
          </w:p>
        </w:tc>
      </w:tr>
      <w:tr>
        <w:tc>
          <w:tcPr>
            <w:tcW w:type="dxa" w:w="280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Admin Users</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1</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5</w:t>
            </w:r>
          </w:p>
        </w:tc>
        <w:tc>
          <w:tcPr>
            <w:tcW w:type="dxa" w:w="2186"/>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20</w:t>
            </w:r>
          </w:p>
        </w:tc>
      </w:tr>
      <w:tr>
        <w:tc>
          <w:tcPr>
            <w:tcW w:type="dxa" w:w="2800"/>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Products</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100</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1,000</w:t>
            </w:r>
          </w:p>
        </w:tc>
        <w:tc>
          <w:tcPr>
            <w:tcW w:type="dxa" w:w="2186"/>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Unlimited</w:t>
            </w:r>
          </w:p>
        </w:tc>
      </w:tr>
      <w:tr>
        <w:tc>
          <w:tcPr>
            <w:tcW w:type="dxa" w:w="280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Collections</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10</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50</w:t>
            </w:r>
          </w:p>
        </w:tc>
        <w:tc>
          <w:tcPr>
            <w:tcW w:type="dxa" w:w="2186"/>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Unlimited</w:t>
            </w:r>
          </w:p>
        </w:tc>
      </w:tr>
      <w:tr>
        <w:tc>
          <w:tcPr>
            <w:tcW w:type="dxa" w:w="2800"/>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Daily DB Reads</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100,000</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300,000</w:t>
            </w:r>
          </w:p>
        </w:tc>
        <w:tc>
          <w:tcPr>
            <w:tcW w:type="dxa" w:w="2186"/>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1,000,000</w:t>
            </w:r>
          </w:p>
        </w:tc>
      </w:tr>
      <w:tr>
        <w:tc>
          <w:tcPr>
            <w:tcW w:type="dxa" w:w="280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Daily DB Writes</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40,000</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120,000</w:t>
            </w:r>
          </w:p>
        </w:tc>
        <w:tc>
          <w:tcPr>
            <w:tcW w:type="dxa" w:w="2186"/>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400,000</w:t>
            </w:r>
          </w:p>
        </w:tc>
      </w:tr>
      <w:tr>
        <w:tc>
          <w:tcPr>
            <w:tcW w:type="dxa" w:w="2800"/>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Daily DB Storage</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2 GB</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6 GB</w:t>
            </w:r>
          </w:p>
        </w:tc>
        <w:tc>
          <w:tcPr>
            <w:tcW w:type="dxa" w:w="2186"/>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20 GB</w:t>
            </w:r>
          </w:p>
        </w:tc>
      </w:tr>
      <w:tr>
        <w:tc>
          <w:tcPr>
            <w:tcW w:type="dxa" w:w="280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DB Authentication</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Included</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Included</w:t>
            </w:r>
          </w:p>
        </w:tc>
        <w:tc>
          <w:tcPr>
            <w:tcW w:type="dxa" w:w="2186"/>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Included</w:t>
            </w:r>
          </w:p>
        </w:tc>
      </w:tr>
      <w:tr>
        <w:tc>
          <w:tcPr>
            <w:tcW w:type="dxa" w:w="2800"/>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Uptime SLA</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No SLA</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99.5%</w:t>
            </w:r>
          </w:p>
        </w:tc>
        <w:tc>
          <w:tcPr>
            <w:tcW w:type="dxa" w:w="2186"/>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99.9%</w:t>
            </w:r>
          </w:p>
        </w:tc>
      </w:tr>
      <w:tr>
        <w:tc>
          <w:tcPr>
            <w:tcW w:type="dxa" w:w="280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Support</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Email</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Priority</w:t>
            </w:r>
          </w:p>
        </w:tc>
        <w:tc>
          <w:tcPr>
            <w:tcW w:type="dxa" w:w="2186"/>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Dedicated Acct Mgr</w:t>
            </w:r>
          </w:p>
        </w:tc>
      </w:tr>
      <w:tr>
        <w:tc>
          <w:tcPr>
            <w:tcW w:type="dxa" w:w="2800"/>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Data Export on Term.</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w:t>
            </w:r>
          </w:p>
        </w:tc>
        <w:tc>
          <w:tcPr>
            <w:tcW w:type="dxa" w:w="2187"/>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w:t>
            </w:r>
          </w:p>
        </w:tc>
        <w:tc>
          <w:tcPr>
            <w:tcW w:type="dxa" w:w="2186"/>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w:t>
            </w:r>
          </w:p>
        </w:tc>
      </w:tr>
      <w:tr>
        <w:tc>
          <w:tcPr>
            <w:tcW w:type="dxa" w:w="280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DB Overage Rate</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₱3.54 / 50k reads</w:t>
            </w:r>
          </w:p>
        </w:tc>
        <w:tc>
          <w:tcPr>
            <w:tcW w:type="dxa" w:w="2187"/>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₱3.54 / 50k reads</w:t>
            </w:r>
          </w:p>
        </w:tc>
        <w:tc>
          <w:tcPr>
            <w:tcW w:type="dxa" w:w="2186"/>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₱2.80 / 10k reads</w:t>
            </w:r>
          </w:p>
        </w:tc>
      </w:tr>
    </w:tbl>
    <w:p>
      <w:pPr>
        <w:spacing w:before="0" w:after="60" w:line="276"/>
        <w:jc w:val="left"/>
      </w:pPr>
      <w:r>
        <w:rPr>
          <w:rFonts w:ascii="Arial" w:cs="Arial" w:eastAsia="Arial" w:hAnsi="Arial"/>
          <w:b w:val="false"/>
          <w:bCs w:val="false"/>
          <w:i w:val="false"/>
          <w:iCs w:val="false"/>
          <w:color w:val="1F1F1F"/>
          <w:sz w:val="20"/>
          <w:szCs w:val="20"/>
        </w:rPr>
        <w:t xml:space="preserve"/>
      </w:r>
    </w:p>
    <w:p>
      <w:pPr>
        <w:spacing w:before="0" w:after="0" w:line="288"/>
        <w:jc w:val="left"/>
      </w:pPr>
      <w:r>
        <w:rPr>
          <w:rFonts w:ascii="Arial" w:cs="Arial" w:eastAsia="Arial" w:hAnsi="Arial"/>
          <w:b w:val="false"/>
          <w:bCs w:val="false"/>
          <w:i w:val="false"/>
          <w:iCs w:val="false"/>
          <w:color w:val="1F1F1F"/>
          <w:sz w:val="20"/>
          <w:szCs w:val="20"/>
        </w:rPr>
        <w:t xml:space="preserve">Database infrastructure costs (reads, writes, authentication, storage, and hosting) are fully absorbed into the monthly subscription fee within the limits above. Overage charges apply only when daily read limits are exceeded.</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3: LICENSE GRANT</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60" w:after="60" w:line="288"/>
        <w:jc w:val="left"/>
      </w:pPr>
      <w:r>
        <w:rPr>
          <w:rFonts w:ascii="Arial" w:cs="Arial" w:eastAsia="Arial" w:hAnsi="Arial"/>
          <w:b/>
          <w:bCs/>
          <w:i w:val="false"/>
          <w:iCs w:val="false"/>
          <w:color w:val="1F1F1F"/>
          <w:sz w:val="20"/>
          <w:szCs w:val="20"/>
        </w:rPr>
        <w:t xml:space="preserve">1.  </w:t>
      </w:r>
      <w:r>
        <w:rPr>
          <w:rFonts w:ascii="Arial" w:cs="Arial" w:eastAsia="Arial" w:hAnsi="Arial"/>
          <w:b w:val="false"/>
          <w:bCs w:val="false"/>
          <w:i w:val="false"/>
          <w:iCs w:val="false"/>
          <w:color w:val="1F1F1F"/>
          <w:sz w:val="20"/>
          <w:szCs w:val="20"/>
        </w:rPr>
        <w:t xml:space="preserve">The Provider grants the Client a non-exclusive, non-transferable, revocable license to access and use the platform solely for the Client’s internal business operations.</w:t>
      </w:r>
    </w:p>
    <w:p>
      <w:pPr>
        <w:spacing w:before="60" w:after="60" w:line="288"/>
        <w:jc w:val="left"/>
      </w:pPr>
      <w:r>
        <w:rPr>
          <w:rFonts w:ascii="Arial" w:cs="Arial" w:eastAsia="Arial" w:hAnsi="Arial"/>
          <w:b/>
          <w:bCs/>
          <w:i w:val="false"/>
          <w:iCs w:val="false"/>
          <w:color w:val="1F1F1F"/>
          <w:sz w:val="20"/>
          <w:szCs w:val="20"/>
        </w:rPr>
        <w:t xml:space="preserve">2.  </w:t>
      </w:r>
      <w:r>
        <w:rPr>
          <w:rFonts w:ascii="Arial" w:cs="Arial" w:eastAsia="Arial" w:hAnsi="Arial"/>
          <w:b w:val="false"/>
          <w:bCs w:val="false"/>
          <w:i w:val="false"/>
          <w:iCs w:val="false"/>
          <w:color w:val="1F1F1F"/>
          <w:sz w:val="20"/>
          <w:szCs w:val="20"/>
        </w:rPr>
        <w:t xml:space="preserve">The Client does not acquire any ownership rights to the software, source code, platform, or infrastructure.</w:t>
      </w:r>
    </w:p>
    <w:p>
      <w:pPr>
        <w:spacing w:before="60" w:after="60" w:line="288"/>
        <w:jc w:val="left"/>
      </w:pPr>
      <w:r>
        <w:rPr>
          <w:rFonts w:ascii="Arial" w:cs="Arial" w:eastAsia="Arial" w:hAnsi="Arial"/>
          <w:b/>
          <w:bCs/>
          <w:i w:val="false"/>
          <w:iCs w:val="false"/>
          <w:color w:val="1F1F1F"/>
          <w:sz w:val="20"/>
          <w:szCs w:val="20"/>
        </w:rPr>
        <w:t xml:space="preserve">3.  </w:t>
      </w:r>
      <w:r>
        <w:rPr>
          <w:rFonts w:ascii="Arial" w:cs="Arial" w:eastAsia="Arial" w:hAnsi="Arial"/>
          <w:b w:val="false"/>
          <w:bCs w:val="false"/>
          <w:i w:val="false"/>
          <w:iCs w:val="false"/>
          <w:color w:val="1F1F1F"/>
          <w:sz w:val="20"/>
          <w:szCs w:val="20"/>
        </w:rPr>
        <w:t xml:space="preserve">The Client may not sublicense, resell, or transfer access to the platform without prior written consent from the Provider.</w:t>
      </w:r>
    </w:p>
    <w:p>
      <w:pPr>
        <w:spacing w:before="60" w:after="60" w:line="288"/>
        <w:jc w:val="left"/>
      </w:pPr>
      <w:r>
        <w:rPr>
          <w:rFonts w:ascii="Arial" w:cs="Arial" w:eastAsia="Arial" w:hAnsi="Arial"/>
          <w:b/>
          <w:bCs/>
          <w:i w:val="false"/>
          <w:iCs w:val="false"/>
          <w:color w:val="1F1F1F"/>
          <w:sz w:val="20"/>
          <w:szCs w:val="20"/>
        </w:rPr>
        <w:t xml:space="preserve">4.  </w:t>
      </w:r>
      <w:r>
        <w:rPr>
          <w:rFonts w:ascii="Arial" w:cs="Arial" w:eastAsia="Arial" w:hAnsi="Arial"/>
          <w:b w:val="false"/>
          <w:bCs w:val="false"/>
          <w:i w:val="false"/>
          <w:iCs w:val="false"/>
          <w:color w:val="1F1F1F"/>
          <w:sz w:val="20"/>
          <w:szCs w:val="20"/>
        </w:rPr>
        <w:t xml:space="preserve">White-label or resale rights are available only under the Enterprise tier and require a separate White-Label Addendum.</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4: DATA OWNERSHIP &amp; PRIVACY</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60" w:after="60" w:line="288"/>
        <w:jc w:val="left"/>
      </w:pPr>
      <w:r>
        <w:rPr>
          <w:rFonts w:ascii="Arial" w:cs="Arial" w:eastAsia="Arial" w:hAnsi="Arial"/>
          <w:b/>
          <w:bCs/>
          <w:i w:val="false"/>
          <w:iCs w:val="false"/>
          <w:color w:val="1F1F1F"/>
          <w:sz w:val="20"/>
          <w:szCs w:val="20"/>
        </w:rPr>
        <w:t xml:space="preserve">5.  </w:t>
      </w:r>
      <w:r>
        <w:rPr>
          <w:rFonts w:ascii="Arial" w:cs="Arial" w:eastAsia="Arial" w:hAnsi="Arial"/>
          <w:b w:val="false"/>
          <w:bCs w:val="false"/>
          <w:i w:val="false"/>
          <w:iCs w:val="false"/>
          <w:color w:val="1F1F1F"/>
          <w:sz w:val="20"/>
          <w:szCs w:val="20"/>
        </w:rPr>
        <w:t xml:space="preserve">The Client retains full ownership of all business data, customer records, product listings, and transactional data uploaded to or generated within the platform.</w:t>
      </w:r>
    </w:p>
    <w:p>
      <w:pPr>
        <w:spacing w:before="60" w:after="60" w:line="288"/>
        <w:jc w:val="left"/>
      </w:pPr>
      <w:r>
        <w:rPr>
          <w:rFonts w:ascii="Arial" w:cs="Arial" w:eastAsia="Arial" w:hAnsi="Arial"/>
          <w:b/>
          <w:bCs/>
          <w:i w:val="false"/>
          <w:iCs w:val="false"/>
          <w:color w:val="1F1F1F"/>
          <w:sz w:val="20"/>
          <w:szCs w:val="20"/>
        </w:rPr>
        <w:t xml:space="preserve">6.  </w:t>
      </w:r>
      <w:r>
        <w:rPr>
          <w:rFonts w:ascii="Arial" w:cs="Arial" w:eastAsia="Arial" w:hAnsi="Arial"/>
          <w:b w:val="false"/>
          <w:bCs w:val="false"/>
          <w:i w:val="false"/>
          <w:iCs w:val="false"/>
          <w:color w:val="1F1F1F"/>
          <w:sz w:val="20"/>
          <w:szCs w:val="20"/>
        </w:rPr>
        <w:t xml:space="preserve">The Provider owns all intellectual property related to the platform including, but not limited to, the codebase, UI/UX design, algorithms, and infrastructure.</w:t>
      </w:r>
    </w:p>
    <w:p>
      <w:pPr>
        <w:spacing w:before="60" w:after="60" w:line="288"/>
        <w:jc w:val="left"/>
      </w:pPr>
      <w:r>
        <w:rPr>
          <w:rFonts w:ascii="Arial" w:cs="Arial" w:eastAsia="Arial" w:hAnsi="Arial"/>
          <w:b/>
          <w:bCs/>
          <w:i w:val="false"/>
          <w:iCs w:val="false"/>
          <w:color w:val="1F1F1F"/>
          <w:sz w:val="20"/>
          <w:szCs w:val="20"/>
        </w:rPr>
        <w:t xml:space="preserve">7.  </w:t>
      </w:r>
      <w:r>
        <w:rPr>
          <w:rFonts w:ascii="Arial" w:cs="Arial" w:eastAsia="Arial" w:hAnsi="Arial"/>
          <w:b w:val="false"/>
          <w:bCs w:val="false"/>
          <w:i w:val="false"/>
          <w:iCs w:val="false"/>
          <w:color w:val="1F1F1F"/>
          <w:sz w:val="20"/>
          <w:szCs w:val="20"/>
        </w:rPr>
        <w:t xml:space="preserve">The Provider agrees not to sell, share, or use Client data for any purpose other than operating and improving the platform.</w:t>
      </w:r>
    </w:p>
    <w:p>
      <w:pPr>
        <w:spacing w:before="60" w:after="60" w:line="288"/>
        <w:jc w:val="left"/>
      </w:pPr>
      <w:r>
        <w:rPr>
          <w:rFonts w:ascii="Arial" w:cs="Arial" w:eastAsia="Arial" w:hAnsi="Arial"/>
          <w:b/>
          <w:bCs/>
          <w:i w:val="false"/>
          <w:iCs w:val="false"/>
          <w:color w:val="1F1F1F"/>
          <w:sz w:val="20"/>
          <w:szCs w:val="20"/>
        </w:rPr>
        <w:t xml:space="preserve">8.  </w:t>
      </w:r>
      <w:r>
        <w:rPr>
          <w:rFonts w:ascii="Arial" w:cs="Arial" w:eastAsia="Arial" w:hAnsi="Arial"/>
          <w:b w:val="false"/>
          <w:bCs w:val="false"/>
          <w:i w:val="false"/>
          <w:iCs w:val="false"/>
          <w:color w:val="1F1F1F"/>
          <w:sz w:val="20"/>
          <w:szCs w:val="20"/>
        </w:rPr>
        <w:t xml:space="preserve">Upon termination, the Provider will provide the Client with a full data export within 14 business days.</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5: DATABASE &amp; INFRASTRUCTURE USAGE</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0" w:after="80" w:line="276"/>
        <w:jc w:val="left"/>
      </w:pPr>
      <w:r>
        <w:rPr>
          <w:rFonts w:ascii="Arial" w:cs="Arial" w:eastAsia="Arial" w:hAnsi="Arial"/>
          <w:b w:val="false"/>
          <w:bCs w:val="false"/>
          <w:i w:val="false"/>
          <w:iCs w:val="false"/>
          <w:color w:val="1F1F1F"/>
          <w:sz w:val="20"/>
          <w:szCs w:val="20"/>
        </w:rPr>
        <w:t xml:space="preserve">The platform operates on managed cloud database and hosting infrastructure. The following fair-use limits apply per billing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PLAN</w:t>
            </w:r>
          </w:p>
        </w:tc>
        <w:tc>
          <w:tcPr>
            <w:tcW w:type="dxa" w:w="3480"/>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INCLUDED DAILY READS</w:t>
            </w:r>
          </w:p>
        </w:tc>
        <w:tc>
          <w:tcPr>
            <w:tcW w:type="dxa" w:w="3480"/>
            <w:tcBorders>
              <w:top w:val="single" w:color="7B3F1E" w:sz="6"/>
              <w:left w:val="single" w:color="7B3F1E" w:sz="6"/>
              <w:bottom w:val="single" w:color="7B3F1E" w:sz="6"/>
              <w:right w:val="single" w:color="7B3F1E" w:sz="6"/>
            </w:tcBorders>
            <w:shd w:fill="7B3F1E" w:val="clear"/>
            <w:tcMar>
              <w:top w:type="dxa" w:w="100"/>
              <w:left w:type="dxa" w:w="140"/>
              <w:bottom w:type="dxa" w:w="100"/>
              <w:right w:type="dxa" w:w="100"/>
            </w:tcMar>
          </w:tcPr>
          <w:p>
            <w:pPr>
              <w:spacing w:before="0" w:after="0" w:line="276"/>
              <w:jc w:val="left"/>
            </w:pPr>
            <w:r>
              <w:rPr>
                <w:rFonts w:ascii="Arial" w:cs="Arial" w:eastAsia="Arial" w:hAnsi="Arial"/>
                <w:b/>
                <w:bCs/>
                <w:i w:val="false"/>
                <w:iCs w:val="false"/>
                <w:color w:val="FFFFFF"/>
                <w:sz w:val="19"/>
                <w:szCs w:val="19"/>
              </w:rPr>
              <w:t xml:space="preserve">OVERAGE RATE</w:t>
            </w:r>
          </w:p>
        </w:tc>
      </w:tr>
      <w:tr>
        <w:tc>
          <w:tcPr>
            <w:tcW w:type="dxa" w:w="240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Starter</w:t>
            </w:r>
          </w:p>
        </w:tc>
        <w:tc>
          <w:tcPr>
            <w:tcW w:type="dxa" w:w="348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100,000 reads/day</w:t>
            </w:r>
          </w:p>
        </w:tc>
        <w:tc>
          <w:tcPr>
            <w:tcW w:type="dxa" w:w="348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₱3.54 per 50,000 reads</w:t>
            </w:r>
          </w:p>
        </w:tc>
      </w:tr>
      <w:tr>
        <w:tc>
          <w:tcPr>
            <w:tcW w:type="dxa" w:w="2400"/>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Growth</w:t>
            </w:r>
          </w:p>
        </w:tc>
        <w:tc>
          <w:tcPr>
            <w:tcW w:type="dxa" w:w="3480"/>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300,000 reads/day</w:t>
            </w:r>
          </w:p>
        </w:tc>
        <w:tc>
          <w:tcPr>
            <w:tcW w:type="dxa" w:w="3480"/>
            <w:tcBorders>
              <w:top w:val="single" w:color="D4B896" w:sz="4"/>
              <w:left w:val="single" w:color="D4B896" w:sz="4"/>
              <w:bottom w:val="single" w:color="D4B896" w:sz="4"/>
              <w:right w:val="single" w:color="D4B896" w:sz="4"/>
            </w:tcBorders>
            <w:shd w:fill="FFFFFF"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₱3.54 per 50,000 reads</w:t>
            </w:r>
          </w:p>
        </w:tc>
      </w:tr>
      <w:tr>
        <w:tc>
          <w:tcPr>
            <w:tcW w:type="dxa" w:w="240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bCs/>
                <w:i w:val="false"/>
                <w:iCs w:val="false"/>
                <w:color w:val="1F1F1F"/>
                <w:sz w:val="19"/>
                <w:szCs w:val="19"/>
              </w:rPr>
              <w:t xml:space="preserve">Enterprise</w:t>
            </w:r>
          </w:p>
        </w:tc>
        <w:tc>
          <w:tcPr>
            <w:tcW w:type="dxa" w:w="348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1,000,000 reads/day</w:t>
            </w:r>
          </w:p>
        </w:tc>
        <w:tc>
          <w:tcPr>
            <w:tcW w:type="dxa" w:w="3480"/>
            <w:tcBorders>
              <w:top w:val="single" w:color="D4B896" w:sz="4"/>
              <w:left w:val="single" w:color="D4B896" w:sz="4"/>
              <w:bottom w:val="single" w:color="D4B896" w:sz="4"/>
              <w:right w:val="single" w:color="D4B896" w:sz="4"/>
            </w:tcBorders>
            <w:shd w:fill="F5F0EB" w:val="clear"/>
            <w:tcMar>
              <w:top w:type="dxa" w:w="80"/>
              <w:left w:type="dxa" w:w="140"/>
              <w:bottom w:type="dxa" w:w="80"/>
              <w:right w:type="dxa" w:w="100"/>
            </w:tcMar>
          </w:tcPr>
          <w:p>
            <w:pPr>
              <w:spacing w:before="0" w:after="0" w:line="276"/>
              <w:jc w:val="left"/>
            </w:pPr>
            <w:r>
              <w:rPr>
                <w:rFonts w:ascii="Arial" w:cs="Arial" w:eastAsia="Arial" w:hAnsi="Arial"/>
                <w:b w:val="false"/>
                <w:bCs w:val="false"/>
                <w:i w:val="false"/>
                <w:iCs w:val="false"/>
                <w:color w:val="1F1F1F"/>
                <w:sz w:val="19"/>
                <w:szCs w:val="19"/>
              </w:rPr>
              <w:t xml:space="preserve">₱2.80 per 10,000 reads</w:t>
            </w:r>
          </w:p>
        </w:tc>
      </w:tr>
    </w:tbl>
    <w:p>
      <w:pPr>
        <w:spacing w:before="0" w:after="60" w:line="276"/>
        <w:jc w:val="left"/>
      </w:pPr>
      <w:r>
        <w:rPr>
          <w:rFonts w:ascii="Arial" w:cs="Arial" w:eastAsia="Arial" w:hAnsi="Arial"/>
          <w:b w:val="false"/>
          <w:bCs w:val="false"/>
          <w:i w:val="false"/>
          <w:iCs w:val="false"/>
          <w:color w:val="1F1F1F"/>
          <w:sz w:val="20"/>
          <w:szCs w:val="20"/>
        </w:rPr>
        <w:t xml:space="preserve"/>
      </w:r>
    </w:p>
    <w:p>
      <w:pPr>
        <w:spacing w:before="0" w:after="0" w:line="288"/>
        <w:jc w:val="left"/>
      </w:pPr>
      <w:r>
        <w:rPr>
          <w:rFonts w:ascii="Arial" w:cs="Arial" w:eastAsia="Arial" w:hAnsi="Arial"/>
          <w:b w:val="false"/>
          <w:bCs w:val="false"/>
          <w:i w:val="false"/>
          <w:iCs w:val="false"/>
          <w:color w:val="1F1F1F"/>
          <w:sz w:val="20"/>
          <w:szCs w:val="20"/>
        </w:rPr>
        <w:t xml:space="preserve">Overages are billed monthly with a detailed usage report attached to the invoice. Write, authentication, and storage limits are as specified in Section 2.</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6: PAYMENT TERMS</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60" w:after="60" w:line="288"/>
        <w:jc w:val="left"/>
      </w:pPr>
      <w:r>
        <w:rPr>
          <w:rFonts w:ascii="Arial" w:cs="Arial" w:eastAsia="Arial" w:hAnsi="Arial"/>
          <w:b/>
          <w:bCs/>
          <w:i w:val="false"/>
          <w:iCs w:val="false"/>
          <w:color w:val="1F1F1F"/>
          <w:sz w:val="20"/>
          <w:szCs w:val="20"/>
        </w:rPr>
        <w:t xml:space="preserve">9.  </w:t>
      </w:r>
      <w:r>
        <w:rPr>
          <w:rFonts w:ascii="Arial" w:cs="Arial" w:eastAsia="Arial" w:hAnsi="Arial"/>
          <w:b w:val="false"/>
          <w:bCs w:val="false"/>
          <w:i w:val="false"/>
          <w:iCs w:val="false"/>
          <w:color w:val="1F1F1F"/>
          <w:sz w:val="20"/>
          <w:szCs w:val="20"/>
        </w:rPr>
        <w:t xml:space="preserve">All billing months are standardised to exactly 30 days and all years to exactly 365 days, regardless of the actual calendar. This applies to all proration, SLA credit, and refund calculations throughout this Agreement.</w:t>
      </w:r>
    </w:p>
    <w:p>
      <w:pPr>
        <w:spacing w:before="60" w:after="60" w:line="288"/>
        <w:jc w:val="left"/>
      </w:pPr>
      <w:r>
        <w:rPr>
          <w:rFonts w:ascii="Arial" w:cs="Arial" w:eastAsia="Arial" w:hAnsi="Arial"/>
          <w:b/>
          <w:bCs/>
          <w:i w:val="false"/>
          <w:iCs w:val="false"/>
          <w:color w:val="1F1F1F"/>
          <w:sz w:val="20"/>
          <w:szCs w:val="20"/>
        </w:rPr>
        <w:t xml:space="preserve">10.  </w:t>
      </w:r>
      <w:r>
        <w:rPr>
          <w:rFonts w:ascii="Arial" w:cs="Arial" w:eastAsia="Arial" w:hAnsi="Arial"/>
          <w:b w:val="false"/>
          <w:bCs w:val="false"/>
          <w:i w:val="false"/>
          <w:iCs w:val="false"/>
          <w:color w:val="1F1F1F"/>
          <w:sz w:val="20"/>
          <w:szCs w:val="20"/>
        </w:rPr>
        <w:t xml:space="preserve">Monthly billing: invoices are issued on the 1st of each month and are due within 15 days.</w:t>
      </w:r>
    </w:p>
    <w:p>
      <w:pPr>
        <w:spacing w:before="60" w:after="60" w:line="288"/>
        <w:jc w:val="left"/>
      </w:pPr>
      <w:r>
        <w:rPr>
          <w:rFonts w:ascii="Arial" w:cs="Arial" w:eastAsia="Arial" w:hAnsi="Arial"/>
          <w:b/>
          <w:bCs/>
          <w:i w:val="false"/>
          <w:iCs w:val="false"/>
          <w:color w:val="1F1F1F"/>
          <w:sz w:val="20"/>
          <w:szCs w:val="20"/>
        </w:rPr>
        <w:t xml:space="preserve">11.  </w:t>
      </w:r>
      <w:r>
        <w:rPr>
          <w:rFonts w:ascii="Arial" w:cs="Arial" w:eastAsia="Arial" w:hAnsi="Arial"/>
          <w:b w:val="false"/>
          <w:bCs w:val="false"/>
          <w:i w:val="false"/>
          <w:iCs w:val="false"/>
          <w:color w:val="1F1F1F"/>
          <w:sz w:val="20"/>
          <w:szCs w:val="20"/>
        </w:rPr>
        <w:t xml:space="preserve">Annual billing: the full 12-month fee (Monthly Fee × 12) is paid upfront upon signing, covering exactly 365 days from the effective date. No annual discount applies. A renewal invoice is issued 30 days before the contract end date.</w:t>
      </w:r>
    </w:p>
    <w:p>
      <w:pPr>
        <w:spacing w:before="60" w:after="60" w:line="288"/>
        <w:jc w:val="left"/>
      </w:pPr>
      <w:r>
        <w:rPr>
          <w:rFonts w:ascii="Arial" w:cs="Arial" w:eastAsia="Arial" w:hAnsi="Arial"/>
          <w:b/>
          <w:bCs/>
          <w:i w:val="false"/>
          <w:iCs w:val="false"/>
          <w:color w:val="1F1F1F"/>
          <w:sz w:val="20"/>
          <w:szCs w:val="20"/>
        </w:rPr>
        <w:t xml:space="preserve">12.  </w:t>
      </w:r>
      <w:r>
        <w:rPr>
          <w:rFonts w:ascii="Arial" w:cs="Arial" w:eastAsia="Arial" w:hAnsi="Arial"/>
          <w:b w:val="false"/>
          <w:bCs w:val="false"/>
          <w:i w:val="false"/>
          <w:iCs w:val="false"/>
          <w:color w:val="1F1F1F"/>
          <w:sz w:val="20"/>
          <w:szCs w:val="20"/>
        </w:rPr>
        <w:t xml:space="preserve">Pro-ration (monthly only): if the effective date falls after the 1st, the first invoice is pro-rated as: (Days Remaining in the 30-Day Month Including Effective Date ÷ 30) × Monthly Fee. This amount plus the setup fee is due upon signing to align the cycle to the 1st of the following month.</w:t>
      </w:r>
    </w:p>
    <w:p>
      <w:pPr>
        <w:spacing w:before="60" w:after="60" w:line="288"/>
        <w:jc w:val="left"/>
      </w:pPr>
      <w:r>
        <w:rPr>
          <w:rFonts w:ascii="Arial" w:cs="Arial" w:eastAsia="Arial" w:hAnsi="Arial"/>
          <w:b/>
          <w:bCs/>
          <w:i w:val="false"/>
          <w:iCs w:val="false"/>
          <w:color w:val="1F1F1F"/>
          <w:sz w:val="20"/>
          <w:szCs w:val="20"/>
        </w:rPr>
        <w:t xml:space="preserve">13.  </w:t>
      </w:r>
      <w:r>
        <w:rPr>
          <w:rFonts w:ascii="Arial" w:cs="Arial" w:eastAsia="Arial" w:hAnsi="Arial"/>
          <w:b w:val="false"/>
          <w:bCs w:val="false"/>
          <w:i w:val="false"/>
          <w:iCs w:val="false"/>
          <w:color w:val="1F1F1F"/>
          <w:sz w:val="20"/>
          <w:szCs w:val="20"/>
        </w:rPr>
        <w:t xml:space="preserve">The setup fee is a one-time charge, non-refundable under all circumstances, and always due upon signing regardless of billing cycle.</w:t>
      </w:r>
    </w:p>
    <w:p>
      <w:pPr>
        <w:spacing w:before="60" w:after="60" w:line="288"/>
        <w:jc w:val="left"/>
      </w:pPr>
      <w:r>
        <w:rPr>
          <w:rFonts w:ascii="Arial" w:cs="Arial" w:eastAsia="Arial" w:hAnsi="Arial"/>
          <w:b/>
          <w:bCs/>
          <w:i w:val="false"/>
          <w:iCs w:val="false"/>
          <w:color w:val="1F1F1F"/>
          <w:sz w:val="20"/>
          <w:szCs w:val="20"/>
        </w:rPr>
        <w:t xml:space="preserve">14.  </w:t>
      </w:r>
      <w:r>
        <w:rPr>
          <w:rFonts w:ascii="Arial" w:cs="Arial" w:eastAsia="Arial" w:hAnsi="Arial"/>
          <w:b w:val="false"/>
          <w:bCs w:val="false"/>
          <w:i w:val="false"/>
          <w:iCs w:val="false"/>
          <w:color w:val="1F1F1F"/>
          <w:sz w:val="20"/>
          <w:szCs w:val="20"/>
        </w:rPr>
        <w:t xml:space="preserve">Late payments incur a fee of PHP 500 or 5% of the applicable monthly plan fee — whichever is higher — after a 7-day grace period from the payment due date.</w:t>
      </w:r>
    </w:p>
    <w:p>
      <w:pPr>
        <w:spacing w:before="60" w:after="60" w:line="288"/>
        <w:jc w:val="left"/>
      </w:pPr>
      <w:r>
        <w:rPr>
          <w:rFonts w:ascii="Arial" w:cs="Arial" w:eastAsia="Arial" w:hAnsi="Arial"/>
          <w:b/>
          <w:bCs/>
          <w:i w:val="false"/>
          <w:iCs w:val="false"/>
          <w:color w:val="1F1F1F"/>
          <w:sz w:val="20"/>
          <w:szCs w:val="20"/>
        </w:rPr>
        <w:t xml:space="preserve">15.  </w:t>
      </w:r>
      <w:r>
        <w:rPr>
          <w:rFonts w:ascii="Arial" w:cs="Arial" w:eastAsia="Arial" w:hAnsi="Arial"/>
          <w:b w:val="false"/>
          <w:bCs w:val="false"/>
          <w:i w:val="false"/>
          <w:iCs w:val="false"/>
          <w:color w:val="1F1F1F"/>
          <w:sz w:val="20"/>
          <w:szCs w:val="20"/>
        </w:rPr>
        <w:t xml:space="preserve">The Provider reserves the right to suspend access after 30 days of non-payment and terminate the account after 60 days of non-payment.</w:t>
      </w:r>
    </w:p>
    <w:p>
      <w:pPr>
        <w:spacing w:before="60" w:after="60" w:line="288"/>
        <w:jc w:val="left"/>
      </w:pPr>
      <w:r>
        <w:rPr>
          <w:rFonts w:ascii="Arial" w:cs="Arial" w:eastAsia="Arial" w:hAnsi="Arial"/>
          <w:b/>
          <w:bCs/>
          <w:i w:val="false"/>
          <w:iCs w:val="false"/>
          <w:color w:val="1F1F1F"/>
          <w:sz w:val="20"/>
          <w:szCs w:val="20"/>
        </w:rPr>
        <w:t xml:space="preserve">16.  </w:t>
      </w:r>
      <w:r>
        <w:rPr>
          <w:rFonts w:ascii="Arial" w:cs="Arial" w:eastAsia="Arial" w:hAnsi="Arial"/>
          <w:b w:val="false"/>
          <w:bCs w:val="false"/>
          <w:i w:val="false"/>
          <w:iCs w:val="false"/>
          <w:color w:val="1F1F1F"/>
          <w:sz w:val="20"/>
          <w:szCs w:val="20"/>
        </w:rPr>
        <w:t xml:space="preserve">All fees are in Philippine Peso (PHP) and are non-refundable unless otherwise stated in this Agreement.</w:t>
      </w:r>
    </w:p>
    <w:p>
      <w:pPr>
        <w:spacing w:before="60" w:after="60" w:line="288"/>
        <w:jc w:val="left"/>
      </w:pPr>
      <w:r>
        <w:rPr>
          <w:rFonts w:ascii="Arial" w:cs="Arial" w:eastAsia="Arial" w:hAnsi="Arial"/>
          <w:b/>
          <w:bCs/>
          <w:i w:val="false"/>
          <w:iCs w:val="false"/>
          <w:color w:val="1F1F1F"/>
          <w:sz w:val="20"/>
          <w:szCs w:val="20"/>
        </w:rPr>
        <w:t xml:space="preserve">17.  </w:t>
      </w:r>
      <w:r>
        <w:rPr>
          <w:rFonts w:ascii="Arial" w:cs="Arial" w:eastAsia="Arial" w:hAnsi="Arial"/>
          <w:b w:val="false"/>
          <w:bCs w:val="false"/>
          <w:i w:val="false"/>
          <w:iCs w:val="false"/>
          <w:color w:val="1F1F1F"/>
          <w:sz w:val="20"/>
          <w:szCs w:val="20"/>
        </w:rPr>
        <w:t xml:space="preserve">Accepted payment methods: Bank Transfer (BDO / Union Bank / GCash).</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7: UPTIME &amp; SERVICE LEVEL AGREEMENT (SLA)</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60" w:after="60" w:line="288"/>
        <w:jc w:val="left"/>
      </w:pPr>
      <w:r>
        <w:rPr>
          <w:rFonts w:ascii="Arial" w:cs="Arial" w:eastAsia="Arial" w:hAnsi="Arial"/>
          <w:b/>
          <w:bCs/>
          <w:i w:val="false"/>
          <w:iCs w:val="false"/>
          <w:color w:val="1F1F1F"/>
          <w:sz w:val="20"/>
          <w:szCs w:val="20"/>
        </w:rPr>
        <w:t xml:space="preserve">18.  </w:t>
      </w:r>
      <w:r>
        <w:rPr>
          <w:rFonts w:ascii="Arial" w:cs="Arial" w:eastAsia="Arial" w:hAnsi="Arial"/>
          <w:b w:val="false"/>
          <w:bCs w:val="false"/>
          <w:i w:val="false"/>
          <w:iCs w:val="false"/>
          <w:color w:val="1F1F1F"/>
          <w:sz w:val="20"/>
          <w:szCs w:val="20"/>
        </w:rPr>
        <w:t xml:space="preserve">Starter Plan: No uptime SLA guarantee. Commercially reasonable efforts will be made to maintain platform availability.</w:t>
      </w:r>
    </w:p>
    <w:p>
      <w:pPr>
        <w:spacing w:before="60" w:after="60" w:line="288"/>
        <w:jc w:val="left"/>
      </w:pPr>
      <w:r>
        <w:rPr>
          <w:rFonts w:ascii="Arial" w:cs="Arial" w:eastAsia="Arial" w:hAnsi="Arial"/>
          <w:b/>
          <w:bCs/>
          <w:i w:val="false"/>
          <w:iCs w:val="false"/>
          <w:color w:val="1F1F1F"/>
          <w:sz w:val="20"/>
          <w:szCs w:val="20"/>
        </w:rPr>
        <w:t xml:space="preserve">19.  </w:t>
      </w:r>
      <w:r>
        <w:rPr>
          <w:rFonts w:ascii="Arial" w:cs="Arial" w:eastAsia="Arial" w:hAnsi="Arial"/>
          <w:b w:val="false"/>
          <w:bCs w:val="false"/>
          <w:i w:val="false"/>
          <w:iCs w:val="false"/>
          <w:color w:val="1F1F1F"/>
          <w:sz w:val="20"/>
          <w:szCs w:val="20"/>
        </w:rPr>
        <w:t xml:space="preserve">Growth Plan: Provider guarantees 99.5% monthly uptime, excluding scheduled maintenance windows.</w:t>
      </w:r>
    </w:p>
    <w:p>
      <w:pPr>
        <w:spacing w:before="60" w:after="60" w:line="288"/>
        <w:jc w:val="left"/>
      </w:pPr>
      <w:r>
        <w:rPr>
          <w:rFonts w:ascii="Arial" w:cs="Arial" w:eastAsia="Arial" w:hAnsi="Arial"/>
          <w:b/>
          <w:bCs/>
          <w:i w:val="false"/>
          <w:iCs w:val="false"/>
          <w:color w:val="1F1F1F"/>
          <w:sz w:val="20"/>
          <w:szCs w:val="20"/>
        </w:rPr>
        <w:t xml:space="preserve">20.  </w:t>
      </w:r>
      <w:r>
        <w:rPr>
          <w:rFonts w:ascii="Arial" w:cs="Arial" w:eastAsia="Arial" w:hAnsi="Arial"/>
          <w:b w:val="false"/>
          <w:bCs w:val="false"/>
          <w:i w:val="false"/>
          <w:iCs w:val="false"/>
          <w:color w:val="1F1F1F"/>
          <w:sz w:val="20"/>
          <w:szCs w:val="20"/>
        </w:rPr>
        <w:t xml:space="preserve">Enterprise Plan: Provider guarantees 99.9% monthly uptime with priority incident response within 4 business hours.</w:t>
      </w:r>
    </w:p>
    <w:p>
      <w:pPr>
        <w:spacing w:before="60" w:after="60" w:line="288"/>
        <w:jc w:val="left"/>
      </w:pPr>
      <w:r>
        <w:rPr>
          <w:rFonts w:ascii="Arial" w:cs="Arial" w:eastAsia="Arial" w:hAnsi="Arial"/>
          <w:b/>
          <w:bCs/>
          <w:i w:val="false"/>
          <w:iCs w:val="false"/>
          <w:color w:val="1F1F1F"/>
          <w:sz w:val="20"/>
          <w:szCs w:val="20"/>
        </w:rPr>
        <w:t xml:space="preserve">21.  </w:t>
      </w:r>
      <w:r>
        <w:rPr>
          <w:rFonts w:ascii="Arial" w:cs="Arial" w:eastAsia="Arial" w:hAnsi="Arial"/>
          <w:b w:val="false"/>
          <w:bCs w:val="false"/>
          <w:i w:val="false"/>
          <w:iCs w:val="false"/>
          <w:color w:val="1F1F1F"/>
          <w:sz w:val="20"/>
          <w:szCs w:val="20"/>
        </w:rPr>
        <w:t xml:space="preserve">SLA Credit Formula: (Downtime Hours ÷ 720) × Monthly Fee. A standard month is 720 hours (30 days × 24 hours).</w:t>
      </w:r>
    </w:p>
    <w:p>
      <w:pPr>
        <w:spacing w:before="60" w:after="60" w:line="288"/>
        <w:jc w:val="left"/>
      </w:pPr>
      <w:r>
        <w:rPr>
          <w:rFonts w:ascii="Arial" w:cs="Arial" w:eastAsia="Arial" w:hAnsi="Arial"/>
          <w:b/>
          <w:bCs/>
          <w:i w:val="false"/>
          <w:iCs w:val="false"/>
          <w:color w:val="1F1F1F"/>
          <w:sz w:val="20"/>
          <w:szCs w:val="20"/>
        </w:rPr>
        <w:t xml:space="preserve">22.  </w:t>
      </w:r>
      <w:r>
        <w:rPr>
          <w:rFonts w:ascii="Arial" w:cs="Arial" w:eastAsia="Arial" w:hAnsi="Arial"/>
          <w:b w:val="false"/>
          <w:bCs w:val="false"/>
          <w:i w:val="false"/>
          <w:iCs w:val="false"/>
          <w:color w:val="1F1F1F"/>
          <w:sz w:val="20"/>
          <w:szCs w:val="20"/>
        </w:rPr>
        <w:t xml:space="preserve">Scheduled maintenance will be communicated at least 48 hours in advance. Emergency maintenance may occur without prior notice.</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8: PLAN CHANGES &amp; PRORATION</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60" w:after="60" w:line="288"/>
        <w:jc w:val="left"/>
      </w:pPr>
      <w:r>
        <w:rPr>
          <w:rFonts w:ascii="Arial" w:cs="Arial" w:eastAsia="Arial" w:hAnsi="Arial"/>
          <w:b/>
          <w:bCs/>
          <w:i w:val="false"/>
          <w:iCs w:val="false"/>
          <w:color w:val="1F1F1F"/>
          <w:sz w:val="20"/>
          <w:szCs w:val="20"/>
        </w:rPr>
        <w:t xml:space="preserve">23.  </w:t>
      </w:r>
      <w:r>
        <w:rPr>
          <w:rFonts w:ascii="Arial" w:cs="Arial" w:eastAsia="Arial" w:hAnsi="Arial"/>
          <w:b w:val="false"/>
          <w:bCs w:val="false"/>
          <w:i w:val="false"/>
          <w:iCs w:val="false"/>
          <w:color w:val="1F1F1F"/>
          <w:sz w:val="20"/>
          <w:szCs w:val="20"/>
        </w:rPr>
        <w:t xml:space="preserve">Plan upgrades or downgrades take effect on the date of the change request.</w:t>
      </w:r>
    </w:p>
    <w:p>
      <w:pPr>
        <w:spacing w:before="60" w:after="60" w:line="288"/>
        <w:jc w:val="left"/>
      </w:pPr>
      <w:r>
        <w:rPr>
          <w:rFonts w:ascii="Arial" w:cs="Arial" w:eastAsia="Arial" w:hAnsi="Arial"/>
          <w:b/>
          <w:bCs/>
          <w:i w:val="false"/>
          <w:iCs w:val="false"/>
          <w:color w:val="1F1F1F"/>
          <w:sz w:val="20"/>
          <w:szCs w:val="20"/>
        </w:rPr>
        <w:t xml:space="preserve">24.  </w:t>
      </w:r>
      <w:r>
        <w:rPr>
          <w:rFonts w:ascii="Arial" w:cs="Arial" w:eastAsia="Arial" w:hAnsi="Arial"/>
          <w:b w:val="false"/>
          <w:bCs w:val="false"/>
          <w:i w:val="false"/>
          <w:iCs w:val="false"/>
          <w:color w:val="1F1F1F"/>
          <w:sz w:val="20"/>
          <w:szCs w:val="20"/>
        </w:rPr>
        <w:t xml:space="preserve">All months are standardised to 30 days. Proration for plan changes: (Days Remaining to Day 30 of Current Billing Month ÷ 30) × Difference in Plan Fee.</w:t>
      </w:r>
    </w:p>
    <w:p>
      <w:pPr>
        <w:spacing w:before="60" w:after="60" w:line="288"/>
        <w:jc w:val="left"/>
      </w:pPr>
      <w:r>
        <w:rPr>
          <w:rFonts w:ascii="Arial" w:cs="Arial" w:eastAsia="Arial" w:hAnsi="Arial"/>
          <w:b/>
          <w:bCs/>
          <w:i w:val="false"/>
          <w:iCs w:val="false"/>
          <w:color w:val="1F1F1F"/>
          <w:sz w:val="20"/>
          <w:szCs w:val="20"/>
        </w:rPr>
        <w:t xml:space="preserve">25.  </w:t>
      </w:r>
      <w:r>
        <w:rPr>
          <w:rFonts w:ascii="Arial" w:cs="Arial" w:eastAsia="Arial" w:hAnsi="Arial"/>
          <w:b w:val="false"/>
          <w:bCs w:val="false"/>
          <w:i w:val="false"/>
          <w:iCs w:val="false"/>
          <w:color w:val="1F1F1F"/>
          <w:sz w:val="20"/>
          <w:szCs w:val="20"/>
        </w:rPr>
        <w:t xml:space="preserve">Upgrade charges are due immediately; downgrade credits are applied to the next invoice.</w:t>
      </w:r>
    </w:p>
    <w:p>
      <w:pPr>
        <w:spacing w:before="60" w:after="60" w:line="288"/>
        <w:jc w:val="left"/>
      </w:pPr>
      <w:r>
        <w:rPr>
          <w:rFonts w:ascii="Arial" w:cs="Arial" w:eastAsia="Arial" w:hAnsi="Arial"/>
          <w:b/>
          <w:bCs/>
          <w:i w:val="false"/>
          <w:iCs w:val="false"/>
          <w:color w:val="1F1F1F"/>
          <w:sz w:val="20"/>
          <w:szCs w:val="20"/>
        </w:rPr>
        <w:t xml:space="preserve">26.  </w:t>
      </w:r>
      <w:r>
        <w:rPr>
          <w:rFonts w:ascii="Arial" w:cs="Arial" w:eastAsia="Arial" w:hAnsi="Arial"/>
          <w:b w:val="false"/>
          <w:bCs w:val="false"/>
          <w:i w:val="false"/>
          <w:iCs w:val="false"/>
          <w:color w:val="1F1F1F"/>
          <w:sz w:val="20"/>
          <w:szCs w:val="20"/>
        </w:rPr>
        <w:t xml:space="preserve">Add-on services are billed in the same month they are commissioned.</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9: CANCELLATION &amp; TERMINATION</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60" w:after="60" w:line="288"/>
        <w:jc w:val="left"/>
      </w:pPr>
      <w:r>
        <w:rPr>
          <w:rFonts w:ascii="Arial" w:cs="Arial" w:eastAsia="Arial" w:hAnsi="Arial"/>
          <w:b/>
          <w:bCs/>
          <w:i w:val="false"/>
          <w:iCs w:val="false"/>
          <w:color w:val="1F1F1F"/>
          <w:sz w:val="20"/>
          <w:szCs w:val="20"/>
        </w:rPr>
        <w:t xml:space="preserve">27.  </w:t>
      </w:r>
      <w:r>
        <w:rPr>
          <w:rFonts w:ascii="Arial" w:cs="Arial" w:eastAsia="Arial" w:hAnsi="Arial"/>
          <w:b w:val="false"/>
          <w:bCs w:val="false"/>
          <w:i w:val="false"/>
          <w:iCs w:val="false"/>
          <w:color w:val="1F1F1F"/>
          <w:sz w:val="20"/>
          <w:szCs w:val="20"/>
        </w:rPr>
        <w:t xml:space="preserve">Either party may terminate this Agreement with 30 days’ written notice. The notice period is effective upon confirmed receipt by the Provider.</w:t>
      </w:r>
    </w:p>
    <w:p>
      <w:pPr>
        <w:spacing w:before="60" w:after="60" w:line="288"/>
        <w:jc w:val="left"/>
      </w:pPr>
      <w:r>
        <w:rPr>
          <w:rFonts w:ascii="Arial" w:cs="Arial" w:eastAsia="Arial" w:hAnsi="Arial"/>
          <w:b/>
          <w:bCs/>
          <w:i w:val="false"/>
          <w:iCs w:val="false"/>
          <w:color w:val="1F1F1F"/>
          <w:sz w:val="20"/>
          <w:szCs w:val="20"/>
        </w:rPr>
        <w:t xml:space="preserve">28.  </w:t>
      </w:r>
      <w:r>
        <w:rPr>
          <w:rFonts w:ascii="Arial" w:cs="Arial" w:eastAsia="Arial" w:hAnsi="Arial"/>
          <w:b w:val="false"/>
          <w:bCs w:val="false"/>
          <w:i w:val="false"/>
          <w:iCs w:val="false"/>
          <w:color w:val="1F1F1F"/>
          <w:sz w:val="20"/>
          <w:szCs w:val="20"/>
        </w:rPr>
        <w:t xml:space="preserve">Billing continues normally throughout the 30-day notice period. The Client’s obligations under this Agreement remain in effect during this period.</w:t>
      </w:r>
    </w:p>
    <w:p>
      <w:pPr>
        <w:spacing w:before="60" w:after="60" w:line="288"/>
        <w:jc w:val="left"/>
      </w:pPr>
      <w:r>
        <w:rPr>
          <w:rFonts w:ascii="Arial" w:cs="Arial" w:eastAsia="Arial" w:hAnsi="Arial"/>
          <w:b/>
          <w:bCs/>
          <w:i w:val="false"/>
          <w:iCs w:val="false"/>
          <w:color w:val="1F1F1F"/>
          <w:sz w:val="20"/>
          <w:szCs w:val="20"/>
        </w:rPr>
        <w:t xml:space="preserve">29.  </w:t>
      </w:r>
      <w:r>
        <w:rPr>
          <w:rFonts w:ascii="Arial" w:cs="Arial" w:eastAsia="Arial" w:hAnsi="Arial"/>
          <w:b w:val="false"/>
          <w:bCs w:val="false"/>
          <w:i w:val="false"/>
          <w:iCs w:val="false"/>
          <w:color w:val="1F1F1F"/>
          <w:sz w:val="20"/>
          <w:szCs w:val="20"/>
        </w:rPr>
        <w:t xml:space="preserve">Refund with proper notice: if the Client has prepaid days beyond the confirmed termination date (e.g., a full monthly invoice was paid on the 1st and the termination date falls before day 30), unused prepaid days after the termination date will be refunded using the formula: (Unused Days After Termination Date ÷ 30) × Monthly Fee.</w:t>
      </w:r>
    </w:p>
    <w:p>
      <w:pPr>
        <w:spacing w:before="60" w:after="60" w:line="288"/>
        <w:jc w:val="left"/>
      </w:pPr>
      <w:r>
        <w:rPr>
          <w:rFonts w:ascii="Arial" w:cs="Arial" w:eastAsia="Arial" w:hAnsi="Arial"/>
          <w:b/>
          <w:bCs/>
          <w:i w:val="false"/>
          <w:iCs w:val="false"/>
          <w:color w:val="1F1F1F"/>
          <w:sz w:val="20"/>
          <w:szCs w:val="20"/>
        </w:rPr>
        <w:t xml:space="preserve">30.  </w:t>
      </w:r>
      <w:r>
        <w:rPr>
          <w:rFonts w:ascii="Arial" w:cs="Arial" w:eastAsia="Arial" w:hAnsi="Arial"/>
          <w:b w:val="false"/>
          <w:bCs w:val="false"/>
          <w:i w:val="false"/>
          <w:iCs w:val="false"/>
          <w:color w:val="1F1F1F"/>
          <w:sz w:val="20"/>
          <w:szCs w:val="20"/>
        </w:rPr>
        <w:t xml:space="preserve">No refund is granted if the Client fails to provide the required 30-day advance written notice.</w:t>
      </w:r>
    </w:p>
    <w:p>
      <w:pPr>
        <w:spacing w:before="60" w:after="60" w:line="288"/>
        <w:jc w:val="left"/>
      </w:pPr>
      <w:r>
        <w:rPr>
          <w:rFonts w:ascii="Arial" w:cs="Arial" w:eastAsia="Arial" w:hAnsi="Arial"/>
          <w:b/>
          <w:bCs/>
          <w:i w:val="false"/>
          <w:iCs w:val="false"/>
          <w:color w:val="1F1F1F"/>
          <w:sz w:val="20"/>
          <w:szCs w:val="20"/>
        </w:rPr>
        <w:t xml:space="preserve">31.  </w:t>
      </w:r>
      <w:r>
        <w:rPr>
          <w:rFonts w:ascii="Arial" w:cs="Arial" w:eastAsia="Arial" w:hAnsi="Arial"/>
          <w:b w:val="false"/>
          <w:bCs w:val="false"/>
          <w:i w:val="false"/>
          <w:iCs w:val="false"/>
          <w:color w:val="1F1F1F"/>
          <w:sz w:val="20"/>
          <w:szCs w:val="20"/>
        </w:rPr>
        <w:t xml:space="preserve">Annual plans: no mid-term refund is available on Client-initiated termination. The full annual fee is non-refundable.</w:t>
      </w:r>
    </w:p>
    <w:p>
      <w:pPr>
        <w:spacing w:before="60" w:after="60" w:line="288"/>
        <w:jc w:val="left"/>
      </w:pPr>
      <w:r>
        <w:rPr>
          <w:rFonts w:ascii="Arial" w:cs="Arial" w:eastAsia="Arial" w:hAnsi="Arial"/>
          <w:b/>
          <w:bCs/>
          <w:i w:val="false"/>
          <w:iCs w:val="false"/>
          <w:color w:val="1F1F1F"/>
          <w:sz w:val="20"/>
          <w:szCs w:val="20"/>
        </w:rPr>
        <w:t xml:space="preserve">32.  </w:t>
      </w:r>
      <w:r>
        <w:rPr>
          <w:rFonts w:ascii="Arial" w:cs="Arial" w:eastAsia="Arial" w:hAnsi="Arial"/>
          <w:b w:val="false"/>
          <w:bCs w:val="false"/>
          <w:i w:val="false"/>
          <w:iCs w:val="false"/>
          <w:color w:val="1F1F1F"/>
          <w:sz w:val="20"/>
          <w:szCs w:val="20"/>
        </w:rPr>
        <w:t xml:space="preserve">The Provider may terminate this Agreement immediately and without refund for material violations of any term or for unlawful conduct through the platform.</w:t>
      </w:r>
    </w:p>
    <w:p>
      <w:pPr>
        <w:spacing w:before="60" w:after="60" w:line="288"/>
        <w:jc w:val="left"/>
      </w:pPr>
      <w:r>
        <w:rPr>
          <w:rFonts w:ascii="Arial" w:cs="Arial" w:eastAsia="Arial" w:hAnsi="Arial"/>
          <w:b/>
          <w:bCs/>
          <w:i w:val="false"/>
          <w:iCs w:val="false"/>
          <w:color w:val="1F1F1F"/>
          <w:sz w:val="20"/>
          <w:szCs w:val="20"/>
        </w:rPr>
        <w:t xml:space="preserve">33.  </w:t>
      </w:r>
      <w:r>
        <w:rPr>
          <w:rFonts w:ascii="Arial" w:cs="Arial" w:eastAsia="Arial" w:hAnsi="Arial"/>
          <w:b w:val="false"/>
          <w:bCs w:val="false"/>
          <w:i w:val="false"/>
          <w:iCs w:val="false"/>
          <w:color w:val="1F1F1F"/>
          <w:sz w:val="20"/>
          <w:szCs w:val="20"/>
        </w:rPr>
        <w:t xml:space="preserve">All Client data will be made available for export within 14 business days following the effective termination date.</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10: CONFIDENTIALITY</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0" w:after="0" w:line="288"/>
        <w:jc w:val="left"/>
      </w:pPr>
      <w:r>
        <w:rPr>
          <w:rFonts w:ascii="Arial" w:cs="Arial" w:eastAsia="Arial" w:hAnsi="Arial"/>
          <w:b w:val="false"/>
          <w:bCs w:val="false"/>
          <w:i w:val="false"/>
          <w:iCs w:val="false"/>
          <w:color w:val="1F1F1F"/>
          <w:sz w:val="20"/>
          <w:szCs w:val="20"/>
        </w:rPr>
        <w:t xml:space="preserve">Both parties agree to keep confidential all proprietary and sensitive information shared under this Agreement, including but not limited to pricing, business processes, technical specifications, and customer data. This obligation survives termination of this Agreement for a period of 3 years.</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11: LIMITATION OF LIABILITY</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0" w:after="0" w:line="288"/>
        <w:jc w:val="left"/>
      </w:pPr>
      <w:r>
        <w:rPr>
          <w:rFonts w:ascii="Arial" w:cs="Arial" w:eastAsia="Arial" w:hAnsi="Arial"/>
          <w:b w:val="false"/>
          <w:bCs w:val="false"/>
          <w:i w:val="false"/>
          <w:iCs w:val="false"/>
          <w:color w:val="1F1F1F"/>
          <w:sz w:val="20"/>
          <w:szCs w:val="20"/>
        </w:rPr>
        <w:t xml:space="preserve">The Provider’s total liability under this Agreement shall not exceed the total fees paid by the Client in the 3 months preceding the claim. The Provider shall not be liable for indirect, incidental, or consequential damages including loss of revenue, data loss, or business interruption.</w:t>
      </w:r>
    </w:p>
    <w:p>
      <w:pPr>
        <w:spacing w:before="0" w:after="6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SECTION 12: GOVERNING LAW</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0" w:after="0" w:line="288"/>
        <w:jc w:val="left"/>
      </w:pPr>
      <w:r>
        <w:rPr>
          <w:rFonts w:ascii="Arial" w:cs="Arial" w:eastAsia="Arial" w:hAnsi="Arial"/>
          <w:b w:val="false"/>
          <w:bCs w:val="false"/>
          <w:i w:val="false"/>
          <w:iCs w:val="false"/>
          <w:color w:val="1F1F1F"/>
          <w:sz w:val="20"/>
          <w:szCs w:val="20"/>
        </w:rPr>
        <w:t xml:space="preserve">This Agreement shall be governed by and construed in accordance with the laws of the Republic of the Philippines. Any disputes shall first be resolved through good-faith negotiation, and if unresolved within 30 days, submitted to the appropriate courts of the Philippines.</w:t>
      </w:r>
    </w:p>
    <w:p>
      <w:pPr>
        <w:spacing w:before="0" w:after="80" w:line="276"/>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1E" w:val="clear"/>
            <w:tcMar>
              <w:top w:type="dxa" w:w="120"/>
              <w:left w:type="dxa" w:w="200"/>
              <w:bottom w:type="dxa" w:w="120"/>
              <w:right w:type="dxa" w:w="200"/>
            </w:tcMar>
          </w:tcPr>
          <w:p>
            <w:pPr>
              <w:spacing w:before="0" w:after="0" w:line="276"/>
              <w:jc w:val="left"/>
            </w:pPr>
            <w:r>
              <w:rPr>
                <w:rFonts w:ascii="Arial" w:cs="Arial" w:eastAsia="Arial" w:hAnsi="Arial"/>
                <w:b/>
                <w:bCs/>
                <w:i w:val="false"/>
                <w:iCs w:val="false"/>
                <w:color w:val="FFFFFF"/>
                <w:sz w:val="22"/>
                <w:szCs w:val="22"/>
              </w:rPr>
              <w:t xml:space="preserve">SIGNATURES</w:t>
            </w:r>
          </w:p>
        </w:tc>
      </w:tr>
    </w:tbl>
    <w:p>
      <w:pPr>
        <w:spacing w:before="0" w:after="40" w:line="276"/>
        <w:jc w:val="left"/>
      </w:pPr>
      <w:r>
        <w:rPr>
          <w:rFonts w:ascii="Arial" w:cs="Arial" w:eastAsia="Arial" w:hAnsi="Arial"/>
          <w:b w:val="false"/>
          <w:bCs w:val="false"/>
          <w:i w:val="false"/>
          <w:iCs w:val="false"/>
          <w:color w:val="1F1F1F"/>
          <w:sz w:val="20"/>
          <w:szCs w:val="20"/>
        </w:rPr>
        <w:t xml:space="preserve"/>
      </w:r>
    </w:p>
    <w:p>
      <w:pPr>
        <w:spacing w:before="0" w:after="100" w:line="288"/>
        <w:jc w:val="left"/>
      </w:pPr>
      <w:r>
        <w:rPr>
          <w:rFonts w:ascii="Arial" w:cs="Arial" w:eastAsia="Arial" w:hAnsi="Arial"/>
          <w:b w:val="false"/>
          <w:bCs w:val="false"/>
          <w:i w:val="false"/>
          <w:iCs w:val="false"/>
          <w:color w:val="1F1F1F"/>
          <w:sz w:val="20"/>
          <w:szCs w:val="20"/>
        </w:rPr>
        <w:t xml:space="preserve">By signing below, both parties acknowledge that they have read, understood, and agree to all terms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60"/>
        <w:gridCol w:w="4440"/>
      </w:tblGrid>
      <w:tr>
        <w:tc>
          <w:tcPr>
            <w:tcW w:type="dxa" w:w="4560"/>
            <w:tcBorders>
              <w:top w:val="none" w:color="FFFFFF" w:sz="0"/>
              <w:left w:val="none" w:color="FFFFFF" w:sz="0"/>
              <w:bottom w:val="none" w:color="FFFFFF" w:sz="0"/>
              <w:right w:val="none" w:color="FFFFFF" w:sz="0"/>
            </w:tcBorders>
          </w:tcPr>
          <w:p>
            <w:pPr>
              <w:spacing w:before="0" w:after="80" w:line="276"/>
              <w:jc w:val="left"/>
            </w:pPr>
            <w:r>
              <w:rPr>
                <w:rFonts w:ascii="Arial" w:cs="Arial" w:eastAsia="Arial" w:hAnsi="Arial"/>
                <w:b/>
                <w:bCs/>
                <w:i w:val="false"/>
                <w:iCs w:val="false"/>
                <w:color w:val="A0522D"/>
                <w:sz w:val="20"/>
                <w:szCs w:val="20"/>
              </w:rPr>
              <w:t xml:space="preserve">FOR THE PROVIDER</w:t>
            </w:r>
          </w:p>
          <w:p>
            <w:pPr>
              <w:spacing w:before="80" w:after="20" w:line="276"/>
              <w:jc w:val="left"/>
            </w:pPr>
            <w:r>
              <w:rPr>
                <w:rFonts w:ascii="Arial" w:cs="Arial" w:eastAsia="Arial" w:hAnsi="Arial"/>
                <w:b/>
                <w:bCs/>
                <w:i w:val="false"/>
                <w:iCs w:val="false"/>
                <w:color w:val="1F1F1F"/>
                <w:sz w:val="19"/>
                <w:szCs w:val="19"/>
              </w:rPr>
              <w:t xml:space="preserve">Signature:</w:t>
            </w:r>
          </w:p>
          <w:p>
            <w:pPr>
              <w:spacing w:before="0" w:after="60" w:line="276"/>
              <w:jc w:val="left"/>
            </w:pPr>
            <w:r>
              <w:rPr>
                <w:rFonts w:ascii="Arial" w:cs="Arial" w:eastAsia="Arial" w:hAnsi="Arial"/>
                <w:b w:val="false"/>
                <w:bCs w:val="false"/>
                <w:i w:val="false"/>
                <w:iCs w:val="false"/>
                <w:color w:val="999999"/>
                <w:sz w:val="20"/>
                <w:szCs w:val="20"/>
              </w:rPr>
              <w:t xml:space="preserve">_______________________________________________</w:t>
            </w:r>
          </w:p>
          <w:p>
            <w:pPr>
              <w:spacing w:before="80" w:after="20" w:line="276"/>
              <w:jc w:val="left"/>
            </w:pPr>
            <w:r>
              <w:rPr>
                <w:rFonts w:ascii="Arial" w:cs="Arial" w:eastAsia="Arial" w:hAnsi="Arial"/>
                <w:b/>
                <w:bCs/>
                <w:i w:val="false"/>
                <w:iCs w:val="false"/>
                <w:color w:val="1F1F1F"/>
                <w:sz w:val="19"/>
                <w:szCs w:val="19"/>
              </w:rPr>
              <w:t xml:space="preserve">Printed Name:</w:t>
            </w:r>
          </w:p>
          <w:p>
            <w:pPr>
              <w:spacing w:before="0" w:after="60" w:line="276"/>
              <w:jc w:val="left"/>
            </w:pPr>
            <w:r>
              <w:rPr>
                <w:rFonts w:ascii="Arial" w:cs="Arial" w:eastAsia="Arial" w:hAnsi="Arial"/>
                <w:b w:val="false"/>
                <w:bCs w:val="false"/>
                <w:i w:val="false"/>
                <w:iCs w:val="false"/>
                <w:color w:val="999999"/>
                <w:sz w:val="20"/>
                <w:szCs w:val="20"/>
              </w:rPr>
              <w:t xml:space="preserve">_______________________________________________</w:t>
            </w:r>
          </w:p>
          <w:p>
            <w:pPr>
              <w:spacing w:before="80" w:after="20" w:line="276"/>
              <w:jc w:val="left"/>
            </w:pPr>
            <w:r>
              <w:rPr>
                <w:rFonts w:ascii="Arial" w:cs="Arial" w:eastAsia="Arial" w:hAnsi="Arial"/>
                <w:b/>
                <w:bCs/>
                <w:i w:val="false"/>
                <w:iCs w:val="false"/>
                <w:color w:val="1F1F1F"/>
                <w:sz w:val="19"/>
                <w:szCs w:val="19"/>
              </w:rPr>
              <w:t xml:space="preserve">Title:</w:t>
            </w:r>
          </w:p>
          <w:p>
            <w:pPr>
              <w:spacing w:before="0" w:after="60" w:line="276"/>
              <w:jc w:val="left"/>
            </w:pPr>
            <w:r>
              <w:rPr>
                <w:rFonts w:ascii="Arial" w:cs="Arial" w:eastAsia="Arial" w:hAnsi="Arial"/>
                <w:b w:val="false"/>
                <w:bCs w:val="false"/>
                <w:i w:val="false"/>
                <w:iCs w:val="false"/>
                <w:color w:val="999999"/>
                <w:sz w:val="20"/>
                <w:szCs w:val="20"/>
              </w:rPr>
              <w:t xml:space="preserve">_______________________________________________</w:t>
            </w:r>
          </w:p>
          <w:p>
            <w:pPr>
              <w:spacing w:before="80" w:after="20" w:line="276"/>
              <w:jc w:val="left"/>
            </w:pPr>
            <w:r>
              <w:rPr>
                <w:rFonts w:ascii="Arial" w:cs="Arial" w:eastAsia="Arial" w:hAnsi="Arial"/>
                <w:b/>
                <w:bCs/>
                <w:i w:val="false"/>
                <w:iCs w:val="false"/>
                <w:color w:val="1F1F1F"/>
                <w:sz w:val="19"/>
                <w:szCs w:val="19"/>
              </w:rPr>
              <w:t xml:space="preserve">Date:</w:t>
            </w:r>
          </w:p>
          <w:p>
            <w:pPr>
              <w:spacing w:before="0" w:after="60" w:line="276"/>
              <w:jc w:val="left"/>
            </w:pPr>
            <w:r>
              <w:rPr>
                <w:rFonts w:ascii="Arial" w:cs="Arial" w:eastAsia="Arial" w:hAnsi="Arial"/>
                <w:b w:val="false"/>
                <w:bCs w:val="false"/>
                <w:i w:val="false"/>
                <w:iCs w:val="false"/>
                <w:color w:val="999999"/>
                <w:sz w:val="20"/>
                <w:szCs w:val="20"/>
              </w:rPr>
              <w:t xml:space="preserve">_______________________________________________</w:t>
            </w:r>
          </w:p>
        </w:tc>
        <w:tc>
          <w:tcPr>
            <w:tcW w:type="dxa" w:w="360"/>
            <w:tcBorders>
              <w:top w:val="none" w:color="FFFFFF" w:sz="0"/>
              <w:left w:val="none" w:color="FFFFFF" w:sz="0"/>
              <w:bottom w:val="none" w:color="FFFFFF" w:sz="0"/>
              <w:right w:val="none" w:color="FFFFFF" w:sz="0"/>
            </w:tcBorders>
          </w:tcPr>
          <w:p>
            <w:pPr>
              <w:spacing w:before="0" w:after="0" w:line="276"/>
              <w:jc w:val="left"/>
            </w:pPr>
            <w:r>
              <w:rPr>
                <w:rFonts w:ascii="Arial" w:cs="Arial" w:eastAsia="Arial" w:hAnsi="Arial"/>
                <w:b w:val="false"/>
                <w:bCs w:val="false"/>
                <w:i w:val="false"/>
                <w:iCs w:val="false"/>
                <w:color w:val="1F1F1F"/>
                <w:sz w:val="20"/>
                <w:szCs w:val="20"/>
              </w:rPr>
              <w:t xml:space="preserve"/>
            </w:r>
          </w:p>
        </w:tc>
        <w:tc>
          <w:tcPr>
            <w:tcW w:type="dxa" w:w="4440"/>
            <w:tcBorders>
              <w:top w:val="none" w:color="FFFFFF" w:sz="0"/>
              <w:left w:val="none" w:color="FFFFFF" w:sz="0"/>
              <w:bottom w:val="none" w:color="FFFFFF" w:sz="0"/>
              <w:right w:val="none" w:color="FFFFFF" w:sz="0"/>
            </w:tcBorders>
          </w:tcPr>
          <w:p>
            <w:pPr>
              <w:spacing w:before="0" w:after="80" w:line="276"/>
              <w:jc w:val="left"/>
            </w:pPr>
            <w:r>
              <w:rPr>
                <w:rFonts w:ascii="Arial" w:cs="Arial" w:eastAsia="Arial" w:hAnsi="Arial"/>
                <w:b/>
                <w:bCs/>
                <w:i w:val="false"/>
                <w:iCs w:val="false"/>
                <w:color w:val="A0522D"/>
                <w:sz w:val="20"/>
                <w:szCs w:val="20"/>
              </w:rPr>
              <w:t xml:space="preserve">FOR THE CLIENT</w:t>
            </w:r>
          </w:p>
          <w:p>
            <w:pPr>
              <w:spacing w:before="80" w:after="20" w:line="276"/>
              <w:jc w:val="left"/>
            </w:pPr>
            <w:r>
              <w:rPr>
                <w:rFonts w:ascii="Arial" w:cs="Arial" w:eastAsia="Arial" w:hAnsi="Arial"/>
                <w:b/>
                <w:bCs/>
                <w:i w:val="false"/>
                <w:iCs w:val="false"/>
                <w:color w:val="1F1F1F"/>
                <w:sz w:val="19"/>
                <w:szCs w:val="19"/>
              </w:rPr>
              <w:t xml:space="preserve">Signature:</w:t>
            </w:r>
          </w:p>
          <w:p>
            <w:pPr>
              <w:spacing w:before="0" w:after="60" w:line="276"/>
              <w:jc w:val="left"/>
            </w:pPr>
            <w:r>
              <w:rPr>
                <w:rFonts w:ascii="Arial" w:cs="Arial" w:eastAsia="Arial" w:hAnsi="Arial"/>
                <w:b w:val="false"/>
                <w:bCs w:val="false"/>
                <w:i w:val="false"/>
                <w:iCs w:val="false"/>
                <w:color w:val="999999"/>
                <w:sz w:val="20"/>
                <w:szCs w:val="20"/>
              </w:rPr>
              <w:t xml:space="preserve">_______________________________________________</w:t>
            </w:r>
          </w:p>
          <w:p>
            <w:pPr>
              <w:spacing w:before="80" w:after="20" w:line="276"/>
              <w:jc w:val="left"/>
            </w:pPr>
            <w:r>
              <w:rPr>
                <w:rFonts w:ascii="Arial" w:cs="Arial" w:eastAsia="Arial" w:hAnsi="Arial"/>
                <w:b/>
                <w:bCs/>
                <w:i w:val="false"/>
                <w:iCs w:val="false"/>
                <w:color w:val="1F1F1F"/>
                <w:sz w:val="19"/>
                <w:szCs w:val="19"/>
              </w:rPr>
              <w:t xml:space="preserve">Printed Name:</w:t>
            </w:r>
          </w:p>
          <w:p>
            <w:pPr>
              <w:spacing w:before="0" w:after="60" w:line="276"/>
              <w:jc w:val="left"/>
            </w:pPr>
            <w:r>
              <w:rPr>
                <w:rFonts w:ascii="Arial" w:cs="Arial" w:eastAsia="Arial" w:hAnsi="Arial"/>
                <w:b w:val="false"/>
                <w:bCs w:val="false"/>
                <w:i w:val="false"/>
                <w:iCs w:val="false"/>
                <w:color w:val="999999"/>
                <w:sz w:val="20"/>
                <w:szCs w:val="20"/>
              </w:rPr>
              <w:t xml:space="preserve">_______________________________________________</w:t>
            </w:r>
          </w:p>
          <w:p>
            <w:pPr>
              <w:spacing w:before="80" w:after="20" w:line="276"/>
              <w:jc w:val="left"/>
            </w:pPr>
            <w:r>
              <w:rPr>
                <w:rFonts w:ascii="Arial" w:cs="Arial" w:eastAsia="Arial" w:hAnsi="Arial"/>
                <w:b/>
                <w:bCs/>
                <w:i w:val="false"/>
                <w:iCs w:val="false"/>
                <w:color w:val="1F1F1F"/>
                <w:sz w:val="19"/>
                <w:szCs w:val="19"/>
              </w:rPr>
              <w:t xml:space="preserve">Title:</w:t>
            </w:r>
          </w:p>
          <w:p>
            <w:pPr>
              <w:spacing w:before="0" w:after="60" w:line="276"/>
              <w:jc w:val="left"/>
            </w:pPr>
            <w:r>
              <w:rPr>
                <w:rFonts w:ascii="Arial" w:cs="Arial" w:eastAsia="Arial" w:hAnsi="Arial"/>
                <w:b w:val="false"/>
                <w:bCs w:val="false"/>
                <w:i w:val="false"/>
                <w:iCs w:val="false"/>
                <w:color w:val="999999"/>
                <w:sz w:val="20"/>
                <w:szCs w:val="20"/>
              </w:rPr>
              <w:t xml:space="preserve">_______________________________________________</w:t>
            </w:r>
          </w:p>
          <w:p>
            <w:pPr>
              <w:spacing w:before="80" w:after="20" w:line="276"/>
              <w:jc w:val="left"/>
            </w:pPr>
            <w:r>
              <w:rPr>
                <w:rFonts w:ascii="Arial" w:cs="Arial" w:eastAsia="Arial" w:hAnsi="Arial"/>
                <w:b/>
                <w:bCs/>
                <w:i w:val="false"/>
                <w:iCs w:val="false"/>
                <w:color w:val="1F1F1F"/>
                <w:sz w:val="19"/>
                <w:szCs w:val="19"/>
              </w:rPr>
              <w:t xml:space="preserve">Date:</w:t>
            </w:r>
          </w:p>
          <w:p>
            <w:pPr>
              <w:spacing w:before="0" w:after="60" w:line="276"/>
              <w:jc w:val="left"/>
            </w:pPr>
            <w:r>
              <w:rPr>
                <w:rFonts w:ascii="Arial" w:cs="Arial" w:eastAsia="Arial" w:hAnsi="Arial"/>
                <w:b w:val="false"/>
                <w:bCs w:val="false"/>
                <w:i w:val="false"/>
                <w:iCs w:val="false"/>
                <w:color w:val="999999"/>
                <w:sz w:val="20"/>
                <w:szCs w:val="20"/>
              </w:rPr>
              <w:t xml:space="preserve">_______________________________________________</w:t>
            </w:r>
          </w:p>
        </w:tc>
      </w:tr>
    </w:tbl>
    <w:p>
      <w:pPr>
        <w:spacing w:before="0" w:after="80" w:line="276"/>
        <w:jc w:val="left"/>
      </w:pPr>
      <w:r>
        <w:rPr>
          <w:rFonts w:ascii="Arial" w:cs="Arial" w:eastAsia="Arial" w:hAnsi="Arial"/>
          <w:b w:val="false"/>
          <w:bCs w:val="false"/>
          <w:i w:val="false"/>
          <w:iCs w:val="false"/>
          <w:color w:val="1F1F1F"/>
          <w:sz w:val="20"/>
          <w:szCs w:val="20"/>
        </w:rPr>
        <w:t xml:space="preserve"/>
      </w:r>
    </w:p>
    <w:p>
      <w:pPr>
        <w:spacing w:before="0" w:after="0" w:line="276"/>
        <w:jc w:val="center"/>
      </w:pPr>
      <w:r>
        <w:rPr>
          <w:rFonts w:ascii="Arial" w:cs="Arial" w:eastAsia="Arial" w:hAnsi="Arial"/>
          <w:b w:val="false"/>
          <w:bCs w:val="false"/>
          <w:i/>
          <w:iCs/>
          <w:color w:val="4A4A4A"/>
          <w:sz w:val="20"/>
          <w:szCs w:val="20"/>
        </w:rPr>
        <w:t xml:space="preserve">Both parties should retain a signed copy of this Agreement for their records.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76"/>
      <w:jc w:val="center"/>
    </w:pPr>
    <w:r>
      <w:rPr>
        <w:rFonts w:ascii="Arial" w:cs="Arial" w:eastAsia="Arial" w:hAnsi="Arial"/>
        <w:b w:val="false"/>
        <w:bCs w:val="false"/>
        <w:i w:val="false"/>
        <w:iCs w:val="false"/>
        <w:color w:val="999999"/>
        <w:sz w:val="16"/>
        <w:szCs w:val="16"/>
      </w:rPr>
      <w:t xml:space="preserve">© 2026 Warm Cinnamon Business IT Solutions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B896" w:sz="6" w:space="4"/>
      </w:pBdr>
      <w:spacing w:before="0" w:after="0" w:line="276"/>
      <w:jc w:val="right"/>
    </w:pPr>
    <w:r>
      <w:rPr>
        <w:rFonts w:ascii="Arial" w:cs="Arial" w:eastAsia="Arial" w:hAnsi="Arial"/>
        <w:b w:val="false"/>
        <w:bCs w:val="false"/>
        <w:i/>
        <w:iCs/>
        <w:color w:val="999999"/>
        <w:sz w:val="16"/>
        <w:szCs w:val="16"/>
      </w:rPr>
      <w:t xml:space="preserve">Warm Cinnamon Business IT Solutions  |  SaaS Subscription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2026-03-09T11:08:59.223Z</dcterms:created>
  <dcterms:modified xsi:type="dcterms:W3CDTF">2026-03-09T11:08:59.224Z</dcterms:modified>
</cp:coreProperties>
</file>

<file path=docProps/custom.xml><?xml version="1.0" encoding="utf-8"?>
<Properties xmlns="http://schemas.openxmlformats.org/officeDocument/2006/custom-properties" xmlns:vt="http://schemas.openxmlformats.org/officeDocument/2006/docPropsVTypes"/>
</file>