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BRIGHT C. SIKAZWE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B96A1B"/>
          <w:sz w:val="21"/>
          <w:szCs w:val="21"/>
        </w:rPr>
        <w:t xml:space="preserve">AI Product &amp; Experience Lead  |  AI Roadmaps · Employee &amp; Service Experience · Governed, Reusable AI at Scale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Johannesburg, South Africa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•  </w:t>
      </w:r>
      <w:hyperlink w:history="1" r:id="rId2gqiwbg89t_gjqaq1vv93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Bryte.sika@gmail.com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•  </w:t>
      </w:r>
      <w:hyperlink w:history="1" r:id="rId9jzrk33jzv-egdw6shjqz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•  </w:t>
      </w:r>
      <w:hyperlink w:history="1" r:id="rId24grczsanin2i1pxpm7ys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•  </w:t>
      </w:r>
      <w:hyperlink w:history="1" r:id="rIdciemb9drfqfwfiywl9czi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•  </w:t>
      </w:r>
      <w:hyperlink w:history="1" r:id="rIdixf8_mdqkfloul4krqbpi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Credly</w:t>
        </w:r>
      </w:hyperlink>
    </w:p>
    <w:p>
      <w:pPr>
        <w:pBdr>
          <w:top w:val="single" w:color="D4D8DE" w:sz="4" w:space="3"/>
          <w:bottom w:val="single" w:color="D4D8DE" w:sz="4" w:space="3"/>
        </w:pBdr>
        <w:spacing w:after="100" w:before="20"/>
        <w:jc w:val="center"/>
      </w:pPr>
      <w:r>
        <w:rPr>
          <w:rFonts w:ascii="Calibri" w:cs="Calibri" w:eastAsia="Calibri" w:hAnsi="Calibri"/>
          <w:b/>
          <w:bCs/>
          <w:color w:val="B96A1B"/>
          <w:sz w:val="17"/>
          <w:szCs w:val="17"/>
        </w:rPr>
        <w:t xml:space="preserve">CERTIFIED:  </w:t>
      </w: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AWS Certified AI Business Strategist</w:t>
      </w:r>
      <w:r>
        <w:rPr>
          <w:rFonts w:ascii="Calibri" w:cs="Calibri" w:eastAsia="Calibri" w:hAnsi="Calibri"/>
          <w:color w:val="1F3A5F"/>
          <w:sz w:val="17"/>
          <w:szCs w:val="17"/>
        </w:rPr>
        <w:t xml:space="preserve">  ·  Google Cloud Professional Data Engineer  ·  Microsoft Azure Data Engineer Associate  ·  Power BI Data Analyst  ·  Anthropic AI Fluency, Claude API &amp; Agent Skills  ·  Google Responsible AI  ·  McKinsey Product Academy  ·  Pendo Product Management</w:t>
      </w:r>
    </w:p>
    <w:p>
      <w:pPr>
        <w:pBdr>
          <w:bottom w:val="single" w:color="B96A1B" w:sz="8" w:space="2"/>
        </w:pBdr>
        <w:spacing w:after="55" w:before="1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AI product and data leader with seventeen years in large, multi-country organisations — eleven at MultiChoice Group (a Canal+ company), rising through four roles to Acting Principal Engineer &amp; Lead, Data Platforms &amp; Engineering, for a ~20M-subscriber business across 46 African markets. I sit exactly where this role sits: between business owners, product owners, AI engineers, architects and risk teams. I turn people's pain points into AI product concepts, prioritise them in one cross-domain backlog by value, user impact, feasibility, risk and architecture fit, define MVPs, and then track adoption and value after launch. My AI work is service-desk work at heart — case triage, knowledge discovery, classification, routing and agentic support for frontline staff — built on shared, reusable patterns rather than one-off pilots, and governed for privacy and human oversight. I have not worked inside an HR technology stack; I bring the AI product discipline and the enterprise service patterns that HR service delivery runs on. AWS Certified AI Business Strategist; Master of Management (Digital Business, Wits); PhD candidate (University of Johannesburg) in ethical and responsible AI.</w:t>
      </w:r>
    </w:p>
    <w:p>
      <w:pPr>
        <w:pBdr>
          <w:bottom w:val="single" w:color="B96A1B" w:sz="8" w:space="2"/>
        </w:pBdr>
        <w:spacing w:after="55" w:before="1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FIT TO THE ROLE</w:t>
      </w:r>
    </w:p>
    <w:tbl>
      <w:tblPr>
        <w:tblW w:type="dxa" w:w="10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2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Own the AI roadmap —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shaped AI roadmaps across several business domains (contact centre, field service, marketing, device operations) as one portfolio, not isolated pilots.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Backlog &amp; prioritisation —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cross-domain AI opportunity backlog ranked by value, user impact, feasibility, data readiness, risk and architecture alignment.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MVPs to value —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proved value on a small MVP, then scaled to a live production service; KPIs and baselines agreed before build.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Experience patterns —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case triage, knowledge retrieval, classification and routing, recommendations and multi-agent support with human hand-off.</w:t>
            </w:r>
          </w:p>
        </w:tc>
        <w:tc>
          <w:tcPr>
            <w:tcW w:type="dxa" w:w="5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2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Reusable AI capabilities —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one classification-and-escalation pattern reused across call analytics, incident triage and support conversations; authored the delivery and governance standard behind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Governed by design —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personal data masked before any model call, human review of low-confidence cases, audit trails; privacy (POPIA), security and architecture teams engaged from the 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Adoption &amp; value tracking —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daily executive adoption views; usage tracked against baselines and corrective action taken when uptake stalls.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Where AI is the wrong answer —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often the fix is process, data or platform; I say so and redirect investment.</w:t>
            </w:r>
          </w:p>
        </w:tc>
      </w:tr>
    </w:tbl>
    <w:p>
      <w:pPr>
        <w:pBdr>
          <w:bottom w:val="single" w:color="B96A1B" w:sz="8" w:space="2"/>
        </w:pBdr>
        <w:spacing w:after="55" w:before="1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AI PRODUCTS TAKEN FROM BUSINESS NEED TO ADOPTION</w:t>
      </w:r>
    </w:p>
    <w:p>
      <w:pPr>
        <w:spacing w:after="26" w:before="9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Calls Intelligence — AI for service delivery and frontline experience (MultiChoice, live on AWS)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B96A1B"/>
          <w:sz w:val="19"/>
          <w:szCs w:val="19"/>
        </w:rPr>
        <w:t xml:space="preserve">User need: </w:t>
      </w:r>
      <w:r>
        <w:rPr>
          <w:rFonts w:ascii="Calibri" w:cs="Calibri" w:eastAsia="Calibri" w:hAnsi="Calibri"/>
          <w:sz w:val="19"/>
          <w:szCs w:val="19"/>
        </w:rPr>
        <w:t xml:space="preserve">Contact-centre and operations leaders could count 140,798 technical calls but not see why people called, which process failed, or which contacts could be prevented or self-served.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B96A1B"/>
          <w:sz w:val="19"/>
          <w:szCs w:val="19"/>
        </w:rPr>
        <w:t xml:space="preserve">Product concept: </w:t>
      </w:r>
      <w:r>
        <w:rPr>
          <w:rFonts w:ascii="Calibri" w:cs="Calibri" w:eastAsia="Calibri" w:hAnsi="Calibri"/>
          <w:sz w:val="19"/>
          <w:szCs w:val="19"/>
        </w:rPr>
        <w:t xml:space="preserve">Every case mapped to 12 customer journeys (value streams), the failed upstream decision, an accountable owner and a preventive action — the same model as HR service delivery: classify the case, route it, deflect what can be self-served, fix the root cause.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B96A1B"/>
          <w:sz w:val="19"/>
          <w:szCs w:val="19"/>
        </w:rPr>
        <w:t xml:space="preserve">Backlog &amp; KPIs: </w:t>
      </w:r>
      <w:r>
        <w:rPr>
          <w:rFonts w:ascii="Calibri" w:cs="Calibri" w:eastAsia="Calibri" w:hAnsi="Calibri"/>
          <w:sz w:val="19"/>
          <w:szCs w:val="19"/>
        </w:rPr>
        <w:t xml:space="preserve">Interventions ranked by value, feasibility, data readiness, risk and time to value; KPIs agreed upfront for avoidable demand, digital deflection, automation potential, repeat contact and customer effort.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B96A1B"/>
          <w:sz w:val="19"/>
          <w:szCs w:val="19"/>
        </w:rPr>
        <w:t xml:space="preserve">MVP to scale: </w:t>
      </w:r>
      <w:r>
        <w:rPr>
          <w:rFonts w:ascii="Calibri" w:cs="Calibri" w:eastAsia="Calibri" w:hAnsi="Calibri"/>
          <w:sz w:val="19"/>
          <w:szCs w:val="19"/>
        </w:rPr>
        <w:t xml:space="preserve">MVP on Microsoft Fabric; now a live, governed AWS service. Low-cost models for routine cases, stronger models or people for exceptions.</w:t>
      </w:r>
    </w:p>
    <w:p>
      <w:pPr>
        <w:spacing w:after="26" w:before="9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Agentic support for frontline teams — MultiChoice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B96A1B"/>
          <w:sz w:val="19"/>
          <w:szCs w:val="19"/>
        </w:rPr>
        <w:t xml:space="preserve">Delivered: </w:t>
      </w:r>
      <w:r>
        <w:rPr>
          <w:rFonts w:ascii="Calibri" w:cs="Calibri" w:eastAsia="Calibri" w:hAnsi="Calibri"/>
          <w:sz w:val="19"/>
          <w:szCs w:val="19"/>
        </w:rPr>
        <w:t xml:space="preserve">A five-agent incident-triage pipeline in production with human escalation; AI classification of support conversations by decoder error code so network faults and billing blockers reach the right team first time.</w:t>
      </w:r>
    </w:p>
    <w:p>
      <w:pPr>
        <w:spacing w:after="26" w:before="9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Adoption at scale — CANAL+ and MultiChoice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B96A1B"/>
          <w:sz w:val="19"/>
          <w:szCs w:val="19"/>
        </w:rPr>
        <w:t xml:space="preserve">Fleet upgrade (FSU/CCA): </w:t>
      </w:r>
      <w:r>
        <w:rPr>
          <w:rFonts w:ascii="Calibri" w:cs="Calibri" w:eastAsia="Calibri" w:hAnsi="Calibri"/>
          <w:sz w:val="19"/>
          <w:szCs w:val="19"/>
        </w:rPr>
        <w:t xml:space="preserve">Data lead on a 14-million-device, 46-country rollout; built the daily adoption view (trial groups 28% → 55%+ in six days); root-cause analysis isolated a fault on ~1.6M devices and guided a fix for ~1.4M.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B96A1B"/>
          <w:sz w:val="19"/>
          <w:szCs w:val="19"/>
        </w:rPr>
        <w:t xml:space="preserve">Personalisation: </w:t>
      </w:r>
      <w:r>
        <w:rPr>
          <w:rFonts w:ascii="Calibri" w:cs="Calibri" w:eastAsia="Calibri" w:hAnsi="Calibri"/>
          <w:sz w:val="19"/>
          <w:szCs w:val="19"/>
        </w:rPr>
        <w:t xml:space="preserve">Classified 489,425 customers into four journey-based cohorts; 298,772 activatable customers fed into marketing-automation platforms for personalised nudges and offers; aligned definitions with the CANAL+ Paris team into a joint standard.</w:t>
      </w:r>
    </w:p>
    <w:p>
      <w:pPr>
        <w:pBdr>
          <w:bottom w:val="single" w:color="B96A1B" w:sz="8" w:space="2"/>
        </w:pBdr>
        <w:spacing w:after="55" w:before="1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tabs>
          <w:tab w:val="right" w:pos="10200"/>
        </w:tabs>
        <w:spacing w:after="18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MultiChoice Group (a Canal+ company)</w:t>
      </w:r>
      <w:r>
        <w:rPr>
          <w:rFonts w:ascii="Calibri" w:cs="Calibri" w:eastAsia="Calibri" w:hAnsi="Calibri"/>
          <w:sz w:val="21"/>
          <w:szCs w:val="21"/>
        </w:rPr>
        <w:t xml:space="preserve">  |  Johannesburg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Jan 2014 – Present</w:t>
      </w:r>
    </w:p>
    <w:p>
      <w:pPr>
        <w:tabs>
          <w:tab w:val="right" w:pos="10200"/>
        </w:tabs>
        <w:spacing w:after="14" w:before="7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Acting Principal Engineer &amp; Lead, Data Platforms &amp; Engineering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Own AI and data product direction for a ~20M-subscriber, 46-market business; translate business needs into AI products with product owners, architects and engineers; formal team lead; regular engagement with senior VP leadership.</w:t>
      </w:r>
    </w:p>
    <w:p>
      <w:pPr>
        <w:tabs>
          <w:tab w:val="right" w:pos="10200"/>
        </w:tabs>
        <w:spacing w:after="14" w:before="7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Senior Engineer: Infield Insights (Engineering Analytical)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2019 – 2025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Delivered device and customer analytics products, the five-agent triage pipeline and the cross-border segmentation adopted with CANAL+.</w:t>
      </w:r>
    </w:p>
    <w:p>
      <w:pPr>
        <w:tabs>
          <w:tab w:val="right" w:pos="10200"/>
        </w:tabs>
        <w:spacing w:after="14" w:before="7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Senior Analytics Lead, Group Analytics (2015–2019)  ·  Senior Data Analyst (2014–2015)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2014 – 2019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Group-wide subscriber, sales and marketing analytics; KPI and process design for commercial teams.</w:t>
      </w:r>
    </w:p>
    <w:p>
      <w:pPr>
        <w:tabs>
          <w:tab w:val="right" w:pos="10200"/>
        </w:tabs>
        <w:spacing w:after="18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brytesika-AI (applied-AI practice)</w:t>
      </w:r>
      <w:r>
        <w:rPr>
          <w:rFonts w:ascii="Calibri" w:cs="Calibri" w:eastAsia="Calibri" w:hAnsi="Calibri"/>
          <w:sz w:val="21"/>
          <w:szCs w:val="21"/>
        </w:rPr>
        <w:t xml:space="preserve">  |  Founder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Applied-AI products from concept to live use, including ChickenIQ (poultry-health assistant for smallholder farmers) and MOSAIC (build-buy-integrate decision tool).</w:t>
      </w:r>
    </w:p>
    <w:p>
      <w:pPr>
        <w:tabs>
          <w:tab w:val="right" w:pos="10200"/>
        </w:tabs>
        <w:spacing w:after="18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Earlier career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2009 – 2014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UTi Worldwide — BI Operations Lead (2012–2014)  •  Standard Bank Group — BI Consultant (2011–2012)  •  Monash University — Junior Lecturer, computing and AI (2009–2010).</w:t>
      </w:r>
    </w:p>
    <w:p>
      <w:pPr>
        <w:pBdr>
          <w:bottom w:val="single" w:color="B96A1B" w:sz="8" w:space="2"/>
        </w:pBdr>
        <w:spacing w:after="55" w:before="1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FORMAL EDUCATION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PhD candidate — University of Johannesburg. Research: ethical and responsible AI for strategic decision-making.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Master of Management (MMgt), Digital Business — Wits Business School.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BSc Honours, Computing — Monash  •  BSc Computer Science — Copperbelt University.</w:t>
      </w:r>
    </w:p>
    <w:p>
      <w:pPr>
        <w:pBdr>
          <w:bottom w:val="single" w:color="B96A1B" w:sz="8" w:space="2"/>
        </w:pBdr>
        <w:spacing w:after="55" w:before="1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AI strategy:</w:t>
      </w:r>
      <w:r>
        <w:rPr>
          <w:rFonts w:ascii="Calibri" w:cs="Calibri" w:eastAsia="Calibri" w:hAnsi="Calibri"/>
          <w:sz w:val="20"/>
          <w:szCs w:val="20"/>
        </w:rPr>
        <w:t xml:space="preserve"> AWS Certified AI Business Strategist (AIB-C01), October 2026 — AI use-case selection, business cases, responsible-AI governance and scaling adoption from pilot to production.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Product &amp; responsible AI:</w:t>
      </w:r>
      <w:r>
        <w:rPr>
          <w:rFonts w:ascii="Calibri" w:cs="Calibri" w:eastAsia="Calibri" w:hAnsi="Calibri"/>
          <w:sz w:val="20"/>
          <w:szCs w:val="20"/>
        </w:rPr>
        <w:t xml:space="preserve"> McKinsey Product Academy; Pendo product-management certifications; Anthropic AI Fluency; Google Responsible AI series (Fairness &amp; Bias; Interpretability &amp; Transparency; Privacy &amp; Safety).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Data, cloud &amp; AI:</w:t>
      </w:r>
      <w:r>
        <w:rPr>
          <w:rFonts w:ascii="Calibri" w:cs="Calibri" w:eastAsia="Calibri" w:hAnsi="Calibri"/>
          <w:sz w:val="20"/>
          <w:szCs w:val="20"/>
        </w:rPr>
        <w:t xml:space="preserve"> Google Cloud Professional Data Engineer (2026); Microsoft Azure Data Engineer Associate; Fabric Analytics Engineer; Power BI Data Analyst; Oracle Generative AI Professional; Anthropic — Claude API, Agent Skills.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In progress:</w:t>
      </w:r>
      <w:r>
        <w:rPr>
          <w:rFonts w:ascii="Calibri" w:cs="Calibri" w:eastAsia="Calibri" w:hAnsi="Calibri"/>
          <w:sz w:val="20"/>
          <w:szCs w:val="20"/>
        </w:rPr>
        <w:t xml:space="preserve"> Google Cloud Professional Cloud Architect; AWS Data Engineer Associate; AWS Generative AI Developer Professional.</w:t>
      </w:r>
    </w:p>
    <w:p>
      <w:pPr>
        <w:pBdr>
          <w:bottom w:val="single" w:color="B96A1B" w:sz="8" w:space="2"/>
        </w:pBdr>
        <w:spacing w:after="55" w:before="17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METHODS &amp; TOOLKIT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sz w:val="20"/>
          <w:szCs w:val="20"/>
        </w:rPr>
        <w:t xml:space="preserve">Journey and process mapping; product concepts and requirements; backlog prioritisation and MVP definition; KPI design and value tracking; conversational AI, knowledge retrieval and semantic search; agentic workflows with human oversight; Power BI adoption dashboards; AWS Bedrock, Microsoft Fabric, Google Gemini, Claude.</w:t>
      </w:r>
    </w:p>
    <w:sectPr>
      <w:pgSz w:w="11906" w:h="16838" w:orient="portrait"/>
      <w:pgMar w:top="560" w:right="760" w:bottom="540" w:left="7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gqiwbg89t_gjqaq1vv93" Type="http://schemas.openxmlformats.org/officeDocument/2006/relationships/hyperlink" Target="mailto:Bryte.sika@gmail.com" TargetMode="External"/><Relationship Id="rId9jzrk33jzv-egdw6shjqz" Type="http://schemas.openxmlformats.org/officeDocument/2006/relationships/hyperlink" Target="https://www.linkedin.com/in/brytesika/" TargetMode="External"/><Relationship Id="rId24grczsanin2i1pxpm7ys" Type="http://schemas.openxmlformats.org/officeDocument/2006/relationships/hyperlink" Target="https://bright-sikazwe-cv.pages.dev" TargetMode="External"/><Relationship Id="rIdciemb9drfqfwfiywl9czi" Type="http://schemas.openxmlformats.org/officeDocument/2006/relationships/hyperlink" Target="https://github.com/brytesika-AI" TargetMode="External"/><Relationship Id="rIdixf8_mdqkfloul4krqbpi" Type="http://schemas.openxmlformats.org/officeDocument/2006/relationships/hyperlink" Target="https://www.credly.com/users/bright-sikazw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2026-10-09T06:03:42.110Z</dcterms:created>
  <dcterms:modified xsi:type="dcterms:W3CDTF">2026-10-09T06:03:42.110Z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