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0F42" w14:textId="77777777" w:rsidR="00F35F27" w:rsidRPr="00F35F27" w:rsidRDefault="00F35F27" w:rsidP="00F35F27">
      <w:pPr>
        <w:shd w:val="clear" w:color="auto" w:fill="F8F9FA"/>
        <w:spacing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W trakcie zajęć zajmować będziemy się metodami klasteryzacji (ang. </w:t>
      </w:r>
      <w:proofErr w:type="spellStart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>clustering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) i klasyfikacji (ang. </w:t>
      </w:r>
      <w:proofErr w:type="spellStart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>classification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) obiektów. We wszystkich przypadkach analizowane obiekty będą opisane za pomocą wektorów cech w przestrzeni euklidesowej </w:t>
      </w:r>
      <w:r w:rsidRPr="00F35F27">
        <w:rPr>
          <w:rFonts w:ascii="MathJax_AMS" w:eastAsia="Times New Roman" w:hAnsi="MathJax_AMS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R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18"/>
          <w:szCs w:val="18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.</w:t>
      </w:r>
    </w:p>
    <w:p w14:paraId="1F3E1EAF" w14:textId="77777777" w:rsidR="00F35F27" w:rsidRPr="00F35F27" w:rsidRDefault="00F35F27" w:rsidP="00F35F27">
      <w:pPr>
        <w:numPr>
          <w:ilvl w:val="0"/>
          <w:numId w:val="1"/>
        </w:numPr>
        <w:shd w:val="clear" w:color="auto" w:fill="F8F9FA"/>
        <w:spacing w:beforeAutospacing="1"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Celem klasteryzacji będzie wykrycie grup obiektów tak, aby podobne do siebie obiekty były w jednej grupie, różne obiekty w różnych grupach. We wszystkich przypadkach podobieństwo będzie mierzone za pomocą metryki euklidesowej w przestrzeni cech </w:t>
      </w:r>
      <w:r w:rsidRPr="00F35F27">
        <w:rPr>
          <w:rFonts w:ascii="MathJax_AMS" w:eastAsia="Times New Roman" w:hAnsi="MathJax_AMS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R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18"/>
          <w:szCs w:val="18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. Określenie przynależności obiektów do grup będzie się odbywało przez przypisanie im etykiet w ten sposób, aby obiekty z tej samej grupy miały tę samą etykietę.</w:t>
      </w:r>
    </w:p>
    <w:p w14:paraId="2D2BF2E5" w14:textId="77777777" w:rsidR="00F35F27" w:rsidRPr="00F35F27" w:rsidRDefault="00F35F27" w:rsidP="00F35F27">
      <w:pPr>
        <w:numPr>
          <w:ilvl w:val="0"/>
          <w:numId w:val="1"/>
        </w:numPr>
        <w:shd w:val="clear" w:color="auto" w:fill="F8F9FA"/>
        <w:spacing w:beforeAutospacing="1"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Celem klasyfikacji będzie stworzenie funkcji, która będzie w stanie przypisać etykietę do każdego innego obiektu opisanego w przestrzeni cech </w:t>
      </w:r>
      <w:r w:rsidRPr="00F35F27">
        <w:rPr>
          <w:rFonts w:ascii="MathJax_AMS" w:eastAsia="Times New Roman" w:hAnsi="MathJax_AMS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R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18"/>
          <w:szCs w:val="18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. Funkcja ta zwykle tworzona jest automatycznie w oparciu o dane treningowe, to jest dane zawierające przykłady obiektów, które mają wcześniej przypisane, znane etykiety.</w:t>
      </w:r>
    </w:p>
    <w:p w14:paraId="0A12146F" w14:textId="77777777" w:rsidR="00F35F27" w:rsidRPr="00F35F27" w:rsidRDefault="00F35F27" w:rsidP="00F35F27">
      <w:pPr>
        <w:shd w:val="clear" w:color="auto" w:fill="F8F9FA"/>
        <w:spacing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W przypadku gdy obiekty opisane są za pomocą cech w przestrzeni dwuwymiarowej (wówczas 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=2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) możemy je przedstawić w postaci dwuwymiarowego wykresu, gdzie każdemu obiektowi odpowiada jeden punkt. Jeśli obiekt posiada przypisaną, prawdziwą etykietę to możemy te punkty pokolorować tak, aby obiekty o tej samej etykiecie miały ten sam kolor. Dodatkowo jeśli dane poddaliśmy klasteryzacji lub klasyfikacji możemy zwizualizować wyniki tych metod w następujący sposób:</w:t>
      </w:r>
    </w:p>
    <w:p w14:paraId="72A6A69C" w14:textId="1EF95336" w:rsidR="00F35F27" w:rsidRPr="00F35F27" w:rsidRDefault="00F35F27" w:rsidP="00F35F27">
      <w:pPr>
        <w:numPr>
          <w:ilvl w:val="0"/>
          <w:numId w:val="2"/>
        </w:numPr>
        <w:shd w:val="clear" w:color="auto" w:fill="F8F9FA"/>
        <w:spacing w:beforeAutospacing="1"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W przypadku klasteryzacji można posłużyć się diagramem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Woronoja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 (ang. </w:t>
      </w:r>
      <w:proofErr w:type="spellStart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>Voronoi</w:t>
      </w:r>
      <w:proofErr w:type="spellEnd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 xml:space="preserve"> diagram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). Na diagramie tym dla każdego obiektu pokazywane jest jego komórka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Woronoja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, to jest obszar przestrzeni </w:t>
      </w:r>
      <w:r w:rsidRPr="00F35F27">
        <w:rPr>
          <w:rFonts w:ascii="MathJax_AMS" w:eastAsia="Times New Roman" w:hAnsi="MathJax_AMS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R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18"/>
          <w:szCs w:val="18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, w której dla każdego punktu z tego obszaru najbliżej jest do rozważanego obiektu. Jeśli w wyniku grupowania każdy obiekt uzyska etykietę, to można tę informację wykorzystać do pokolorowania komórek tak, aby komórki obiektów z tą samą etykietą miały taki sam kolor: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br/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lastRenderedPageBreak/>
        <w:drawing>
          <wp:inline distT="0" distB="0" distL="0" distR="0" wp14:anchorId="5DF9FA55" wp14:editId="5A05862A">
            <wp:extent cx="5649113" cy="4124901"/>
            <wp:effectExtent l="0" t="0" r="0" b="9525"/>
            <wp:docPr id="522095707" name="Obraz 1" descr="Obraz zawierający map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95707" name="Obraz 1" descr="Obraz zawierający mapa, zrzut ekranu, diagram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br/>
        <w:t>Jeśli dysponujemy prawdziwymi etykietami obiektów, to one również mogą zostać zaprezentowane poprzez odpowiednie pokolorowanie punktów odpowiadających tym obiektom: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br/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drawing>
          <wp:inline distT="0" distB="0" distL="0" distR="0" wp14:anchorId="0F737322" wp14:editId="40087345">
            <wp:extent cx="5760720" cy="4049395"/>
            <wp:effectExtent l="0" t="0" r="0" b="8255"/>
            <wp:docPr id="1980401331" name="Obraz 1" descr="Obraz zawierający diagram, tekst, zrzut ekranu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01331" name="Obraz 1" descr="Obraz zawierający diagram, tekst, zrzut ekranu, map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A907" w14:textId="4E51E2D3" w:rsidR="00F35F27" w:rsidRPr="00F35F27" w:rsidRDefault="00F35F27" w:rsidP="00F35F27">
      <w:pPr>
        <w:numPr>
          <w:ilvl w:val="0"/>
          <w:numId w:val="2"/>
        </w:numPr>
        <w:shd w:val="clear" w:color="auto" w:fill="F8F9FA"/>
        <w:spacing w:beforeAutospacing="1"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lastRenderedPageBreak/>
        <w:t>W przypadku klasyfikacji zwykle pokazuje się tak zwaną granicę decyzyjną (ang. </w:t>
      </w:r>
      <w:proofErr w:type="spellStart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>decision</w:t>
      </w:r>
      <w:proofErr w:type="spellEnd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 xml:space="preserve"> </w:t>
      </w:r>
      <w:proofErr w:type="spellStart"/>
      <w:r w:rsidRPr="00F35F27">
        <w:rPr>
          <w:rFonts w:ascii="Titillium Web" w:eastAsia="Times New Roman" w:hAnsi="Titillium Web" w:cs="Times New Roman"/>
          <w:i/>
          <w:iCs/>
          <w:color w:val="212529"/>
          <w:kern w:val="0"/>
          <w:sz w:val="23"/>
          <w:szCs w:val="23"/>
          <w:lang w:eastAsia="pl-PL"/>
          <w14:ligatures w14:val="none"/>
        </w:rPr>
        <w:t>boundary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). Ponieważ funkcja klasyfikująca potrafi sklasyfikować każdy punkt przestrzeni </w:t>
      </w:r>
      <w:r w:rsidRPr="00F35F27">
        <w:rPr>
          <w:rFonts w:ascii="MathJax_AMS" w:eastAsia="Times New Roman" w:hAnsi="MathJax_AMS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R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18"/>
          <w:szCs w:val="18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, to każdemu punktowi na wykresie można przypisać kolor odpowiadający jego etykiecie. Zbiór punktów na granicach pomiędzy obszarami o tym samym kolorze odpowiada granicy decyzyjnej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drawing>
          <wp:inline distT="0" distB="0" distL="0" distR="0" wp14:anchorId="3677A42D" wp14:editId="26E21EED">
            <wp:extent cx="5620534" cy="4191585"/>
            <wp:effectExtent l="0" t="0" r="0" b="0"/>
            <wp:docPr id="182946273" name="Obraz 1" descr="Obraz zawierający tekst, map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273" name="Obraz 1" descr="Obraz zawierający tekst, map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6336" w14:textId="77777777" w:rsidR="00F35F27" w:rsidRPr="00F35F27" w:rsidRDefault="00F35F27" w:rsidP="00F35F27">
      <w:pPr>
        <w:shd w:val="clear" w:color="auto" w:fill="F8F9FA"/>
        <w:spacing w:after="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Zadanie rozgrzewkowe polega na przygotowaniu funkcji, które będą potrafiły wczytać dane z pliku CSV, a następnie zwizualizować (w przypadku </w:t>
      </w:r>
      <w:r w:rsidRPr="00F35F27">
        <w:rPr>
          <w:rFonts w:ascii="MathJax_Math-italic" w:eastAsia="Times New Roman" w:hAnsi="MathJax_Math-italic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n</w:t>
      </w:r>
      <w:r w:rsidRPr="00F35F27">
        <w:rPr>
          <w:rFonts w:ascii="MathJax_Main" w:eastAsia="Times New Roman" w:hAnsi="MathJax_Main" w:cs="Times New Roman"/>
          <w:color w:val="212529"/>
          <w:kern w:val="0"/>
          <w:sz w:val="26"/>
          <w:szCs w:val="26"/>
          <w:bdr w:val="none" w:sz="0" w:space="0" w:color="auto" w:frame="1"/>
          <w:lang w:eastAsia="pl-PL"/>
          <w14:ligatures w14:val="none"/>
        </w:rPr>
        <w:t>=2</w:t>
      </w: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) wyniki działania metody klasteryzacji i metody klasyfikacji. W tym celu trzeba uzupełnić kod skryptu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Pythona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 dołączonego do tego zadania. Zawiera on instrukcje jak powinny działać wspomniane funkcje i pozwala je przetestować. Realizacja tego zadania może być oparta o dowolnie wybrane biblioteki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Pythona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 (na przykład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Matplotlib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).</w:t>
      </w:r>
    </w:p>
    <w:p w14:paraId="4F89D739" w14:textId="77777777" w:rsidR="00F35F27" w:rsidRPr="00F35F27" w:rsidRDefault="00F35F27" w:rsidP="00F35F27">
      <w:pPr>
        <w:shd w:val="clear" w:color="auto" w:fill="F8F9FA"/>
        <w:spacing w:after="10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Zadanie to nie jest oceniane. Dobrze jest je jednak wykonać, aby przygotować się do realizacji projektów, w których te funkcje będą potrzebne. Dodatkowo, w celu uruchomienia załączonego skryptu, konieczne będzie również przygotowanie sobie środowiska uruchomieniowego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Pythona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 zawierającego odpowiednie biblioteki (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NumPy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, </w:t>
      </w:r>
      <w:proofErr w:type="spellStart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scikit-learn</w:t>
      </w:r>
      <w:proofErr w:type="spellEnd"/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 xml:space="preserve"> i inne wykorzystane do rozwiązania zadania), które również przyda się kolejnych projektach.</w:t>
      </w:r>
    </w:p>
    <w:p w14:paraId="76127FEB" w14:textId="77777777" w:rsidR="00F35F27" w:rsidRPr="00F35F27" w:rsidRDefault="00F35F27" w:rsidP="00F35F27">
      <w:pPr>
        <w:shd w:val="clear" w:color="auto" w:fill="F8F9FA"/>
        <w:spacing w:after="100" w:afterAutospacing="1" w:line="240" w:lineRule="auto"/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</w:pPr>
      <w:r w:rsidRPr="00F35F27">
        <w:rPr>
          <w:rFonts w:ascii="Titillium Web" w:eastAsia="Times New Roman" w:hAnsi="Titillium Web" w:cs="Times New Roman"/>
          <w:color w:val="212529"/>
          <w:kern w:val="0"/>
          <w:sz w:val="23"/>
          <w:szCs w:val="23"/>
          <w:lang w:eastAsia="pl-PL"/>
          <w14:ligatures w14:val="none"/>
        </w:rPr>
        <w:t>Jako wynik prac, można indywidualnie wrzucić uzyskane obrazki wynikowe (obrazy PNG) jako rozwiązanie niniejszego zadania.</w:t>
      </w:r>
    </w:p>
    <w:p w14:paraId="18CB27AB" w14:textId="77777777" w:rsidR="00C05BFC" w:rsidRDefault="00C05BFC"/>
    <w:sectPr w:rsidR="00C05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tillium Web">
    <w:charset w:val="EE"/>
    <w:family w:val="auto"/>
    <w:pitch w:val="variable"/>
    <w:sig w:usb0="00000007" w:usb1="00000001" w:usb2="00000000" w:usb3="00000000" w:csb0="00000093" w:csb1="00000000"/>
  </w:font>
  <w:font w:name="MathJax_AMS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E67"/>
    <w:multiLevelType w:val="multilevel"/>
    <w:tmpl w:val="7F04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453E2"/>
    <w:multiLevelType w:val="multilevel"/>
    <w:tmpl w:val="9DD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07184">
    <w:abstractNumId w:val="1"/>
  </w:num>
  <w:num w:numId="2" w16cid:durableId="50066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27"/>
    <w:rsid w:val="002A6A66"/>
    <w:rsid w:val="00C05BFC"/>
    <w:rsid w:val="00EC0797"/>
    <w:rsid w:val="00F35F27"/>
    <w:rsid w:val="00F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FE08"/>
  <w15:chartTrackingRefBased/>
  <w15:docId w15:val="{2526FCE8-57F5-4370-AD41-B0B597F6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35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35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35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35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35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35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35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35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35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35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35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35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35F2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35F2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35F2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35F2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35F2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35F2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35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5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35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35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35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35F2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35F2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35F2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35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35F2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35F27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F3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wydatnienie">
    <w:name w:val="Emphasis"/>
    <w:basedOn w:val="Domylnaczcionkaakapitu"/>
    <w:uiPriority w:val="20"/>
    <w:qFormat/>
    <w:rsid w:val="00F35F27"/>
    <w:rPr>
      <w:i/>
      <w:iCs/>
    </w:rPr>
  </w:style>
  <w:style w:type="character" w:customStyle="1" w:styleId="mi">
    <w:name w:val="mi"/>
    <w:basedOn w:val="Domylnaczcionkaakapitu"/>
    <w:rsid w:val="00F35F27"/>
  </w:style>
  <w:style w:type="character" w:customStyle="1" w:styleId="mo">
    <w:name w:val="mo"/>
    <w:basedOn w:val="Domylnaczcionkaakapitu"/>
    <w:rsid w:val="00F35F27"/>
  </w:style>
  <w:style w:type="character" w:customStyle="1" w:styleId="mn">
    <w:name w:val="mn"/>
    <w:basedOn w:val="Domylnaczcionkaakapitu"/>
    <w:rsid w:val="00F3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2949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Brzozowski</dc:creator>
  <cp:keywords/>
  <dc:description/>
  <cp:lastModifiedBy>Michał Brzozowski</cp:lastModifiedBy>
  <cp:revision>1</cp:revision>
  <dcterms:created xsi:type="dcterms:W3CDTF">2024-03-17T18:32:00Z</dcterms:created>
  <dcterms:modified xsi:type="dcterms:W3CDTF">2024-03-17T18:33:00Z</dcterms:modified>
</cp:coreProperties>
</file>