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E09C" w14:textId="3D5CF786" w:rsidR="009E55C0" w:rsidRPr="009E55C0" w:rsidRDefault="009E55C0" w:rsidP="009E55C0">
      <w:pPr>
        <w:rPr>
          <w:rFonts w:hint="eastAsia"/>
        </w:rPr>
      </w:pPr>
      <w:r w:rsidRPr="009E55C0">
        <w:t>本模型</w:t>
      </w:r>
      <w:r>
        <w:rPr>
          <w:rFonts w:hint="eastAsia"/>
        </w:rPr>
        <w:t>实现</w:t>
      </w:r>
      <w:r w:rsidRPr="009E55C0">
        <w:t>的支持向量机，针对Pima印第安人糖尿病数据集开发。数据集包含768名患者的8项临床指标，用于糖尿病风险评估预测。模型通过梯度下降优化算法自动学习特征权重，实现端到端的训练预测流程。处理过程涵盖数据清洗、</w:t>
      </w:r>
      <w:proofErr w:type="gramStart"/>
      <w:r w:rsidRPr="009E55C0">
        <w:t>缺失值</w:t>
      </w:r>
      <w:proofErr w:type="gramEnd"/>
      <w:r w:rsidRPr="009E55C0">
        <w:t>处理、特征标准化及数据分割。测试集验证显示预测准确率达76.62%，可有效识别糖尿病高风险人群</w:t>
      </w:r>
      <w:r>
        <w:rPr>
          <w:rFonts w:hint="eastAsia"/>
        </w:rPr>
        <w:t>。</w:t>
      </w:r>
    </w:p>
    <w:p w14:paraId="655CEA8F" w14:textId="77777777" w:rsidR="00077327" w:rsidRDefault="00077327"/>
    <w:sectPr w:rsidR="000773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27"/>
    <w:rsid w:val="00077327"/>
    <w:rsid w:val="000F3FA0"/>
    <w:rsid w:val="009E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AAF830"/>
  <w15:chartTrackingRefBased/>
  <w15:docId w15:val="{9786EA87-6652-4DB3-B73B-43705108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3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3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3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3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3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3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3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3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3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3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3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73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3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3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3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3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3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3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3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3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3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3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7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1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笙 白</dc:creator>
  <cp:keywords/>
  <dc:description/>
  <cp:lastModifiedBy>笙 白</cp:lastModifiedBy>
  <cp:revision>2</cp:revision>
  <dcterms:created xsi:type="dcterms:W3CDTF">2025-06-11T02:28:00Z</dcterms:created>
  <dcterms:modified xsi:type="dcterms:W3CDTF">2025-06-11T02:30:00Z</dcterms:modified>
</cp:coreProperties>
</file>