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RTHP Raw Domain Context - English Semantic Translation</w:t>
      </w:r>
    </w:p>
    <w:p>
      <w:pPr>
        <w:jc w:val="center"/>
      </w:pPr>
      <w:r>
        <w:rPr>
          <w:b/>
        </w:rPr>
        <w:t>Non-canonical source evidence</w:t>
      </w:r>
    </w:p>
    <w:p>
      <w:r>
        <w:rPr>
          <w:b/>
        </w:rPr>
        <w:t xml:space="preserve">Purpose: </w:t>
      </w:r>
      <w:r>
        <w:t>This document preserves the semantic content of the original Persian domain note in English. Canonical authority belongs to the accepted RTHP Context Package, not to this source translation.</w:t>
      </w:r>
    </w:p>
    <w:p>
      <w:pPr>
        <w:pStyle w:val="Heading1"/>
      </w:pPr>
      <w:r>
        <w:t>Core idea</w:t>
      </w:r>
    </w:p>
    <w:p>
      <w:pPr>
        <w:pStyle w:val="ListBullet"/>
        <w:spacing w:after="40"/>
      </w:pPr>
      <w:r>
        <w:t>RTHP is based on divergence between two symbols.</w:t>
      </w:r>
    </w:p>
    <w:p>
      <w:pPr>
        <w:pStyle w:val="ListBullet"/>
        <w:spacing w:after="40"/>
      </w:pPr>
      <w:r>
        <w:t>A divergence exists when a corresponding cycle High is hunted or touched by one symbol and is not hunted or touched by the other symbol.</w:t>
      </w:r>
    </w:p>
    <w:p>
      <w:pPr>
        <w:pStyle w:val="ListBullet"/>
        <w:spacing w:after="40"/>
      </w:pPr>
      <w:r>
        <w:t>The analogous Low-side relationship is defined in the same way.</w:t>
      </w:r>
    </w:p>
    <w:p>
      <w:pPr>
        <w:pStyle w:val="ListBullet"/>
        <w:spacing w:after="40"/>
      </w:pPr>
      <w:r>
        <w:t>A Hunt requires only a touch; price does not need to close beyond the level.</w:t>
      </w:r>
    </w:p>
    <w:p>
      <w:pPr>
        <w:pStyle w:val="ListBullet"/>
        <w:spacing w:after="40"/>
      </w:pPr>
      <w:r>
        <w:t>All stated times are New York times.</w:t>
      </w:r>
    </w:p>
    <w:p>
      <w:pPr>
        <w:pStyle w:val="Heading1"/>
      </w:pPr>
      <w:r>
        <w:t>Strategy cycles</w:t>
      </w:r>
    </w:p>
    <w:p>
      <w:pPr>
        <w:pStyle w:val="ListBullet"/>
        <w:spacing w:after="40"/>
      </w:pPr>
      <w:r>
        <w:t>L = 07:00:00-09:29:59</w:t>
      </w:r>
    </w:p>
    <w:p>
      <w:pPr>
        <w:pStyle w:val="ListBullet"/>
        <w:spacing w:after="40"/>
      </w:pPr>
      <w:r>
        <w:t>N = 09:30:00-15:59:59</w:t>
      </w:r>
    </w:p>
    <w:p>
      <w:pPr>
        <w:pStyle w:val="ListBullet"/>
        <w:spacing w:after="40"/>
      </w:pPr>
      <w:r>
        <w:t>A = 16:00:00-20:00:00</w:t>
      </w:r>
    </w:p>
    <w:p>
      <w:pPr>
        <w:pStyle w:val="ListBullet"/>
        <w:spacing w:after="40"/>
      </w:pPr>
      <w:r>
        <w:t>L + N + A = the strategy daytime composite range</w:t>
      </w:r>
    </w:p>
    <w:p>
      <w:pPr>
        <w:pStyle w:val="ListBullet"/>
        <w:spacing w:after="40"/>
      </w:pPr>
      <w:r>
        <w:t>Daily = 20:00:00-19:59:59</w:t>
      </w:r>
    </w:p>
    <w:p>
      <w:pPr>
        <w:pStyle w:val="ListBullet"/>
        <w:spacing w:after="40"/>
      </w:pPr>
      <w:r>
        <w:t>Weekly = Sunday + Monday + Tuesday + Wednesday + Thursday + Friday</w:t>
      </w:r>
    </w:p>
    <w:p>
      <w:pPr>
        <w:pStyle w:val="Heading1"/>
      </w:pPr>
      <w:r>
        <w:t>Weekly structure</w:t>
      </w:r>
    </w:p>
    <w:p>
      <w:pPr>
        <w:pStyle w:val="ListBullet"/>
        <w:spacing w:after="40"/>
      </w:pPr>
      <w:r>
        <w:t>The weekly candle begins with a Sunday segment from 18:00:00 to 19:59:59.</w:t>
      </w:r>
    </w:p>
    <w:p>
      <w:pPr>
        <w:pStyle w:val="ListBullet"/>
        <w:spacing w:after="40"/>
      </w:pPr>
      <w:r>
        <w:t>Monday starts at 20:00:00 and continues to 19:59:59 for a 24-hour trading day. Tuesday through Thursday follow the same structure.</w:t>
      </w:r>
    </w:p>
    <w:p>
      <w:pPr>
        <w:pStyle w:val="ListBullet"/>
        <w:spacing w:after="40"/>
      </w:pPr>
      <w:r>
        <w:t>Friday begins at 20:00:00 on Thursday and continues until 16:59:59 on Friday.</w:t>
      </w:r>
    </w:p>
    <w:p>
      <w:pPr>
        <w:pStyle w:val="ListBullet"/>
        <w:spacing w:after="40"/>
      </w:pPr>
      <w:r>
        <w:t>The Friday A segment is incomplete, just as Sunday contains only a short two-hour opening segment.</w:t>
      </w:r>
    </w:p>
    <w:p>
      <w:pPr>
        <w:pStyle w:val="Heading1"/>
      </w:pPr>
      <w:r>
        <w:t>Named relationship families</w:t>
      </w:r>
    </w:p>
    <w:p>
      <w:pPr>
        <w:pStyle w:val="ListBullet"/>
        <w:spacing w:after="40"/>
      </w:pPr>
      <w:r>
        <w:t>WW: divergence between the current week and the prior week.</w:t>
      </w:r>
    </w:p>
    <w:p>
      <w:pPr>
        <w:pStyle w:val="ListBullet"/>
        <w:spacing w:after="40"/>
      </w:pPr>
      <w:r>
        <w:t>DD: divergence between the current Daily cycle and prior Daily cycles.</w:t>
      </w:r>
    </w:p>
    <w:p>
      <w:pPr>
        <w:pStyle w:val="ListBullet"/>
        <w:spacing w:after="40"/>
      </w:pPr>
      <w:r>
        <w:t>NN: divergence between today's N cycle and prior N cycles.</w:t>
      </w:r>
    </w:p>
    <w:p>
      <w:pPr>
        <w:pStyle w:val="ListBullet"/>
        <w:spacing w:after="40"/>
      </w:pPr>
      <w:r>
        <w:t>LN: divergence between today's N cycle and today's or prior L cycles.</w:t>
      </w:r>
    </w:p>
    <w:p>
      <w:pPr>
        <w:pStyle w:val="ListBullet"/>
        <w:spacing w:after="40"/>
      </w:pPr>
      <w:r>
        <w:t>AN: divergence between today's N cycle and prior A cycles.</w:t>
      </w:r>
    </w:p>
    <w:p>
      <w:pPr>
        <w:pStyle w:val="ListBullet"/>
        <w:spacing w:after="40"/>
      </w:pPr>
      <w:r>
        <w:t>NL: divergence between today's L cycle and prior N cycles.</w:t>
      </w:r>
    </w:p>
    <w:p>
      <w:pPr>
        <w:pStyle w:val="ListBullet"/>
        <w:spacing w:after="40"/>
      </w:pPr>
      <w:r>
        <w:t>NA: divergence between today's A cycle and prior N cycles.</w:t>
      </w:r>
    </w:p>
    <w:p>
      <w:pPr>
        <w:pStyle w:val="ListBullet"/>
        <w:spacing w:after="40"/>
      </w:pPr>
      <w:r>
        <w:t>FCR: divergence between 09:30:00-09:59:59 and 10:00:00-15:59:59.</w:t>
      </w:r>
    </w:p>
    <w:p>
      <w:pPr>
        <w:pStyle w:val="ListBullet"/>
        <w:spacing w:after="40"/>
      </w:pPr>
      <w:r>
        <w:t>PMI: divergence between 07:00:00-09:29:59 and 09:30:00-15:59:59.</w:t>
      </w:r>
    </w:p>
    <w:p>
      <w:pPr>
        <w:pStyle w:val="ListBullet"/>
        <w:spacing w:after="40"/>
      </w:pPr>
      <w:r>
        <w:t>PP: divergence between 09:00:00-09:29:59 and 09:30:00-15:59:59.</w:t>
      </w:r>
    </w:p>
    <w:p>
      <w:pPr>
        <w:pStyle w:val="ListBullet"/>
        <w:spacing w:after="40"/>
      </w:pPr>
      <w:r>
        <w:t>M15 Cycle Group: divergence between 15-minute cycles inside 09:30:00-16:00:00, including sequential and non-sequential relationships. Sequential means two adjacent 15-minute cycles.</w:t>
      </w:r>
    </w:p>
    <w:p>
      <w:pPr>
        <w:pStyle w:val="Heading1"/>
      </w:pPr>
      <w:r>
        <w:t>Confirmation and simultaneous families</w:t>
      </w:r>
    </w:p>
    <w:p>
      <w:pPr>
        <w:pStyle w:val="ListBullet"/>
        <w:spacing w:after="40"/>
      </w:pPr>
      <w:r>
        <w:t>If multiple divergence families are present in one candle, all of them are counted, including both Bullish and Bearish relationships.</w:t>
      </w:r>
    </w:p>
    <w:p>
      <w:pPr>
        <w:pStyle w:val="ListBullet"/>
        <w:spacing w:after="40"/>
      </w:pPr>
      <w:r>
        <w:t>The default evaluation timeframe in the source is M15, and relationship status is examined at the close of that timeframe.</w:t>
      </w:r>
    </w:p>
    <w:p>
      <w:pPr>
        <w:pStyle w:val="Heading1"/>
      </w:pPr>
      <w:r>
        <w:t>Lookback and incomplete history</w:t>
      </w:r>
    </w:p>
    <w:p>
      <w:pPr>
        <w:pStyle w:val="ListBullet"/>
        <w:spacing w:after="40"/>
      </w:pPr>
      <w:r>
        <w:t>The source proposes a default lookback of 12 prior days or cycles for DD, NN, LN, AN, NL, and NA.</w:t>
      </w:r>
    </w:p>
    <w:p>
      <w:pPr>
        <w:pStyle w:val="ListBullet"/>
        <w:spacing w:after="40"/>
      </w:pPr>
      <w:r>
        <w:t>If an expiry-based chart or a new contract contains fewer than 12 prior observations, the evaluator must process only the available observations and must not fail.</w:t>
      </w:r>
    </w:p>
    <w:p>
      <w:pPr>
        <w:pStyle w:val="ListBullet"/>
        <w:spacing w:after="40"/>
      </w:pPr>
      <w:r>
        <w:t>If only one prior day exists, evaluate one. If none exist, evaluate none. Missing Saturdays must not cause an error or create artificial data.</w:t>
      </w:r>
    </w:p>
    <w:p>
      <w:pPr>
        <w:pStyle w:val="Heading1"/>
      </w:pPr>
      <w:r>
        <w:t>First touch and visual persistence</w:t>
      </w:r>
    </w:p>
    <w:p>
      <w:pPr>
        <w:pStyle w:val="ListBullet"/>
        <w:spacing w:after="40"/>
      </w:pPr>
      <w:r>
        <w:t>If the same prior High is swept multiple times, only the first sweep is primary.</w:t>
      </w:r>
    </w:p>
    <w:p>
      <w:pPr>
        <w:pStyle w:val="ListBullet"/>
        <w:spacing w:after="40"/>
      </w:pPr>
      <w:r>
        <w:t>The first confirmed line is the important visual occurrence, and the historical line should remain visible even if the divergence later resolves.</w:t>
      </w:r>
    </w:p>
    <w:p>
      <w:pPr>
        <w:pStyle w:val="Heading1"/>
      </w:pPr>
      <w:r>
        <w:t>Reference consumption</w:t>
      </w:r>
    </w:p>
    <w:p>
      <w:pPr>
        <w:pStyle w:val="ListBullet"/>
        <w:spacing w:after="40"/>
      </w:pPr>
      <w:r>
        <w:t>After price has passed a level and the corresponding level relationship has been fully consumed, it cannot be treated as a fresh untouched reference again for that same scope.</w:t>
      </w:r>
    </w:p>
    <w:p>
      <w:pPr>
        <w:pStyle w:val="ListBullet"/>
        <w:spacing w:after="40"/>
      </w:pPr>
      <w:r>
        <w:t>When the symbol that was initially protected later touches its own corresponding High or Low, that scoped reference can no longer create another divergence occurrence.</w:t>
      </w:r>
    </w:p>
    <w:p>
      <w:pPr>
        <w:pStyle w:val="ListBullet"/>
        <w:spacing w:after="40"/>
      </w:pPr>
      <w:r>
        <w:t>While the protected side remains untouched, later active cycles may still form new divergence occurrences against that reference, provided each occurrence has an independent identity.</w:t>
      </w:r>
    </w:p>
    <w:p>
      <w:pPr>
        <w:pStyle w:val="ListBullet"/>
        <w:spacing w:after="40"/>
      </w:pPr>
      <w:r>
        <w:t>The original note refers to previously supplied code as possible evidence for this rule, but no repository path, commit hash, or file digest was supplied. Therefore that code has no canonical authority.</w:t>
      </w:r>
    </w:p>
    <w:p>
      <w:pPr>
        <w:pStyle w:val="Heading1"/>
      </w:pPr>
      <w:r>
        <w:t>Authority note</w:t>
      </w:r>
    </w:p>
    <w:p>
      <w:pPr>
        <w:pStyle w:val="ListBullet"/>
        <w:spacing w:after="40"/>
      </w:pPr>
      <w:r>
        <w:t>This English translation preserves source intent but does not resolve ambiguities by itself.</w:t>
      </w:r>
    </w:p>
    <w:p>
      <w:pPr>
        <w:pStyle w:val="ListBullet"/>
        <w:spacing w:after="40"/>
      </w:pPr>
      <w:r>
        <w:t>The resolved decision questionnaire and canonical package contracts define the accepted machine semantics.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RTHP source translation - English - non-canonical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