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969000" cy="335756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ures/cove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357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Третья форма тенге</w:t>
      </w:r>
    </w:p>
    <w:p>
      <w:pPr>
        <w:pStyle w:val="Subtitle"/>
      </w:pPr>
      <w:r>
        <w:t xml:space="preserve">как Казахстан учит деньги выполнять условия</w:t>
      </w:r>
    </w:p>
    <w:p>
      <w:pPr>
        <w:pStyle w:val="BodyText"/>
      </w:pPr>
      <w:r>
        <w:t xml:space="preserve">Формат: «Как это работает» · Тема: «Финансы» · Метка: «Научпоп»</w:t>
      </w:r>
    </w:p>
    <w:p>
      <w:pPr>
        <w:pStyle w:val="BodyText"/>
      </w:pPr>
      <w:r>
        <w:rPr>
          <w:bCs/>
          <w:b/>
        </w:rPr>
        <w:t xml:space="preserve">Редакция The Tenge</w:t>
      </w:r>
      <w:r>
        <w:t xml:space="preserve"> </w:t>
      </w:r>
      <w:r>
        <w:t xml:space="preserve">(the-tenge.kz)</w:t>
      </w:r>
    </w:p>
    <w:p>
      <w:pPr>
        <w:pStyle w:val="BodyText"/>
      </w:pPr>
      <w:r>
        <w:rPr>
          <w:bCs/>
          <w:b/>
        </w:rPr>
        <w:t xml:space="preserve">Редакция 1.1 · 31 октября 2026 года</w:t>
      </w:r>
    </w:p>
    <w:p>
      <w:pPr>
        <w:pStyle w:val="BodyText"/>
      </w:pPr>
      <w:r>
        <w:rPr>
          <w:iCs/>
          <w:i/>
        </w:rPr>
        <w:t xml:space="preserve">Материал подготовлен редакцией с использованием инструментов искусственного интеллекта; каждая цифра сверена с источником, сомнительные исключены. Значок вида [Ф-078] отсылает к реестру фактов в приложении.</w:t>
      </w:r>
    </w:p>
    <w:bookmarkStart w:id="23" w:name="short"/>
    <w:p>
      <w:pPr>
        <w:pageBreakBefore/>
        <w:spacing w:after="240"/>
      </w:pPr>
      <w:r>
        <w:rPr>
          <w:rFonts w:ascii="Arial" w:hAnsi="Arial"/>
          <w:b/>
          <w:color w:val="1F3864"/>
          <w:sz w:val="36"/>
        </w:rPr>
        <w:t>Оглавление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Коротко</w:t>
        <w:tab/>
        <w:t>4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Три формы одних денег</w:t>
        <w:tab/>
        <w:t>5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Две формы, которые мы знали</w:t>
        <w:tab/>
        <w:t>5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Третья форма</w:t>
        <w:tab/>
        <w:t>5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С чем цифровой тенге легко спутать</w:t>
        <w:tab/>
        <w:t>6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Как проект дошёл до закона</w:t>
        <w:tab/>
        <w:t>7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От эксперимента к эксплуатации</w:t>
        <w:tab/>
        <w:t>7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Закон и правила</w:t>
        <w:tab/>
        <w:t>7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Что получилось по срокам</w:t>
        <w:tab/>
        <w:t>8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Как устроена машина</w:t>
        <w:tab/>
        <w:t>10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Два этажа</w:t>
        <w:tab/>
        <w:t>10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Что внутри</w:t>
        <w:tab/>
        <w:t>11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Какие тут риски</w:t>
        <w:tab/>
        <w:t>11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Деньги, которые читают условия</w:t>
        <w:tab/>
        <w:t>12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Маркировка: конверт с надписью</w:t>
        <w:tab/>
        <w:t>12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Холдирование: деньги, ждущие события</w:t>
        <w:tab/>
        <w:t>12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Цифровой НДС: налог, который не потеряешься</w:t>
        <w:tab/>
        <w:t>12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Главный подвох</w:t>
        <w:tab/>
        <w:t>13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Что показали пилоты</w:t>
        <w:tab/>
        <w:t>14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2022: работает ли вообще</w:t>
        <w:tab/>
        <w:t>14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2023: нужно ли это людям</w:t>
        <w:tab/>
        <w:t>14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2024–2025: нужно ли это государству</w:t>
        <w:tab/>
        <w:t>14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Сколько это на самом деле</w:t>
        <w:tab/>
        <w:t>15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Чему научили пилоты</w:t>
        <w:tab/>
        <w:t>16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Закон и правила: что можно и нельзя</w:t>
        <w:tab/>
        <w:t>17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Лестница норм</w:t>
        <w:tab/>
        <w:t>17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Что закон говорит о самих деньгах</w:t>
        <w:tab/>
        <w:t>17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Вопросы, которые задают чаще всего</w:t>
        <w:tab/>
        <w:t>17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Где обязательность</w:t>
        <w:tab/>
        <w:t>18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Цена вопроса: тарифы, проценты и спрос</w:t>
        <w:tab/>
        <w:t>19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Сколько берёт платформа</w:t>
        <w:tab/>
        <w:t>19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Почему на деньги не начисляют проценты</w:t>
        <w:tab/>
        <w:t>20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А нужен ли розничный спрос</w:t>
        <w:tab/>
        <w:t>20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Как с этим справляются другие</w:t>
        <w:tab/>
        <w:t>21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Китай: масштаб и поворот к процентам</w:t>
        <w:tab/>
        <w:t>21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Россия: обязанность вместо выбора</w:t>
        <w:tab/>
        <w:t>21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Европа: сначала закон</w:t>
        <w:tab/>
        <w:t>21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Япония и Нигерия: две осторожности</w:t>
        <w:tab/>
        <w:t>21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Международные расчёты</w:t>
        <w:tab/>
        <w:t>22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Что отсюда следует</w:t>
        <w:tab/>
        <w:t>22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Что может пойти не так и чего мы пока не знаем</w:t>
        <w:tab/>
        <w:t>23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Риски</w:t>
        <w:tab/>
        <w:t>23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Чего мы не знаем</w:t>
        <w:tab/>
        <w:t>24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Что дальше: три сценария</w:t>
        <w:tab/>
        <w:t>25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Три траектории</w:t>
        <w:tab/>
        <w:t>25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Арифметика цели</w:t>
        <w:tab/>
        <w:t>25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За чем следить</w:t>
        <w:tab/>
        <w:t>26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Как мы проверяли факты</w:t>
        <w:tab/>
        <w:t>27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Реестр фактов</w:t>
        <w:tab/>
        <w:t>27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Источники</w:t>
        <w:tab/>
        <w:t>27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Как подготовлен материал</w:t>
        <w:tab/>
        <w:t>27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Приложение. Реестр фактов</w:t>
        <w:tab/>
        <w:t>28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Словарь терминов</w:t>
        <w:tab/>
        <w:t>36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История версий</w:t>
        <w:tab/>
        <w:t>37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Список использованных источников</w:t>
        <w:tab/>
        <w:t>38</w:t>
      </w:r>
    </w:p>
    <w:p>
      <w:pPr>
        <w:pStyle w:val="Heading1"/>
        <w:pageBreakBefore/>
      </w:pPr>
      <w:r>
        <w:t xml:space="preserve">Коротко</w:t>
      </w:r>
    </w:p>
    <w:p>
      <w:pPr>
        <w:pStyle w:val="BlockText"/>
      </w:pPr>
      <w:r>
        <w:rPr>
          <w:bCs/>
          <w:b/>
        </w:rPr>
        <w:t xml:space="preserve">Коротко</w:t>
      </w:r>
    </w:p>
    <w:p>
      <w:pPr>
        <w:numPr>
          <w:ilvl w:val="0"/>
          <w:numId w:val="1001"/>
        </w:numPr>
        <w:pStyle w:val="Compact"/>
      </w:pPr>
      <w:r>
        <w:t xml:space="preserve">Цифровой тенге — третья форма той же национальной валюты наряду с наличными и безналичными деньгами. С 18 июля 2026 года он законное платёжное средство, а выпускать его вправе только Национальный Банк [Ф-019] [Ф-020].</w:t>
      </w:r>
    </w:p>
    <w:p>
      <w:pPr>
        <w:numPr>
          <w:ilvl w:val="0"/>
          <w:numId w:val="1001"/>
        </w:numPr>
        <w:pStyle w:val="Compact"/>
      </w:pPr>
      <w:r>
        <w:t xml:space="preserve">Его особенность — не скорость и не «цифровость», а программируемость: деньги можно снабдить условиями, и они сами проверят, на что их тратят [Ф-006].</w:t>
      </w:r>
    </w:p>
    <w:p>
      <w:pPr>
        <w:numPr>
          <w:ilvl w:val="0"/>
          <w:numId w:val="1001"/>
        </w:numPr>
        <w:pStyle w:val="Compact"/>
      </w:pPr>
      <w:r>
        <w:t xml:space="preserve">Пока это инструмент в первую очередь государства: к концу 2025 года выпущено 336,6 млрд цифровых тенге, и лишь 265 цифровых счетов [Ф-102]. Для обычных людей проект пока почти незаметен: платформа в основном обслуживает платежи государства.</w:t>
      </w:r>
    </w:p>
    <w:p>
      <w:pPr>
        <w:numPr>
          <w:ilvl w:val="0"/>
          <w:numId w:val="1001"/>
        </w:numPr>
        <w:pStyle w:val="Compact"/>
      </w:pPr>
      <w:r>
        <w:t xml:space="preserve">В 2026 году у проекта появились закон, правила, тарифы и обязательность для части бюджетных расходов [Ф-054] [Ф-078] [Ф-087]. Нацбанк заявил, что хочет довести охват до 2 трлн тенге за год [Ф-088].</w:t>
      </w:r>
    </w:p>
    <w:p>
      <w:pPr>
        <w:numPr>
          <w:ilvl w:val="0"/>
          <w:numId w:val="1001"/>
        </w:numPr>
        <w:pStyle w:val="Compact"/>
      </w:pPr>
      <w:r>
        <w:t xml:space="preserve">Главный вопрос — не техника, а данные: платформа исполняет то, что ей сообщили государственные базы, а их качество определит, будут ли эти деньги честнее обычных.</w:t>
      </w:r>
    </w:p>
    <w:p>
      <w:pPr>
        <w:pStyle w:val="BlockText"/>
      </w:pPr>
      <w:r>
        <w:rPr>
          <w:bCs/>
          <w:b/>
        </w:rPr>
        <w:t xml:space="preserve">Что это значит для вас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Если вы обычный клиент банка.</w:t>
      </w:r>
      <w:r>
        <w:t xml:space="preserve"> </w:t>
      </w:r>
      <w:r>
        <w:t xml:space="preserve">Вас никто не обязывает переходить на цифровой тенге; для граждан закон такой обязанности не устанавливает [Ф-103]. Открыть цифровой счёт можно бесплатно, а цифровой тенге равен одному обычному тенге [Ф-024].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Если вы подрядчик или поставщик государства.</w:t>
      </w:r>
      <w:r>
        <w:t xml:space="preserve"> </w:t>
      </w:r>
      <w:r>
        <w:t xml:space="preserve">Для платежей свыше 100 млн тенге по перечню статей вы, скорее всего, столкнётесь с цифровым тенге уже в 2026–2027 годах [Ф-085] [Ф-087]. Стоит проверить, умеет ли ваш банк с ним работать.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Если вы бухгалтер или финансовый директор.</w:t>
      </w:r>
      <w:r>
        <w:t xml:space="preserve"> </w:t>
      </w:r>
      <w:r>
        <w:t xml:space="preserve">Цифровой НДС и маркированные деньги потребуют сквозных идентификаторов в учётных системах [Ф-010] [Ф-086].</w:t>
      </w:r>
    </w:p>
    <w:p>
      <w:pPr>
        <w:pStyle w:val="BlockText"/>
      </w:pPr>
      <w:r>
        <w:rPr>
          <w:bCs/>
          <w:b/>
        </w:rPr>
        <w:t xml:space="preserve">Как читать этот материал.</w:t>
      </w:r>
      <w:r>
        <w:t xml:space="preserve"> </w:t>
      </w:r>
      <w:r>
        <w:t xml:space="preserve">У каждой цифры рядом стоит значок вида Ф-078: нажмите на него, и откроется карточка с источником. Цвет значка показывает степень уверенности: зелёный — первичный документ (закон, отчёт НПК, страница оператора), янтарный — пересказ в прессе официального заявления, серый — расчёт редакции. Всё, что не удалось подтвердить, в текст не попало; эти вопросы собраны в главе «Чего мы не знаем».</w:t>
      </w:r>
    </w:p>
    <w:bookmarkEnd w:id="23"/>
    <w:bookmarkStart w:id="27" w:name="forms"/>
    <w:p>
      <w:pPr>
        <w:pStyle w:val="Heading1"/>
        <w:pageBreakBefore/>
      </w:pPr>
      <w:r>
        <w:t xml:space="preserve">Три формы одних денег</w:t>
      </w:r>
    </w:p>
    <w:p>
      <w:pPr>
        <w:pStyle w:val="FirstParagraph"/>
      </w:pPr>
      <w:r>
        <w:t xml:space="preserve">Начнём с вопроса, на который, как ни странно, не все умеют ответить сразу: что такое деньги? Бумажная купюра в 10 000 тенге стоит себестоимости бумаги и краски, то есть почти ничего. Деньгами её делают две вещи: закон, который велит принимать её в уплату, и доверие к тому, кто её выпустил. Экономисты называют такие деньги фиатными, от латинского</w:t>
      </w:r>
      <w:r>
        <w:t xml:space="preserve"> </w:t>
      </w:r>
      <w:r>
        <w:rPr>
          <w:iCs/>
          <w:i/>
        </w:rPr>
        <w:t xml:space="preserve">fiat</w:t>
      </w:r>
      <w:r>
        <w:t xml:space="preserve"> </w:t>
      </w:r>
      <w:r>
        <w:t xml:space="preserve">— «пусть будет»: пусть это будет деньгами, потому что так постановлено.</w:t>
      </w:r>
    </w:p>
    <w:p>
      <w:pPr>
        <w:pStyle w:val="BodyText"/>
      </w:pPr>
      <w:r>
        <w:t xml:space="preserve">Слово «тенге» ведёт нас в ту же сторону. Оно тюркского корня, и, по Фасмеру, от того же тюркского</w:t>
      </w:r>
      <w:r>
        <w:t xml:space="preserve"> </w:t>
      </w:r>
      <w:r>
        <w:rPr>
          <w:iCs/>
          <w:i/>
        </w:rPr>
        <w:t xml:space="preserve">täŋkä</w:t>
      </w:r>
      <w:r>
        <w:t xml:space="preserve"> </w:t>
      </w:r>
      <w:r>
        <w:t xml:space="preserve">(«монета, деньги») происходит и русское «деньги». Когда Национальный Банк называет новую форму валюты «цифровым тенге», в названии нет ничего чужеродного: речь не о новой единице, а о новом обличье знакомой.</w:t>
      </w:r>
    </w:p>
    <w:bookmarkStart w:id="24" w:name="две-формы-которые-мы-знали"/>
    <w:p>
      <w:pPr>
        <w:pStyle w:val="Heading2"/>
      </w:pPr>
      <w:r>
        <w:t xml:space="preserve">Две формы, которые мы знали</w:t>
      </w:r>
    </w:p>
    <w:p>
      <w:pPr>
        <w:pStyle w:val="FirstParagraph"/>
      </w:pPr>
      <w:r>
        <w:t xml:space="preserve">До 2026 года в Казахстане существовали две формы тенге. Первая — наличные: банкноты и монеты. Это прямое обязательство Национального Банка: он выпускает их и отвечает за них. Вторая — безналичные деньги: цифры на вашем счёте в банке. Это уже обязательство банка перед вами: если банк закроется, вашу сумму должен вернуть он, а не Нацбанк.</w:t>
      </w:r>
    </w:p>
    <w:p>
      <w:pPr>
        <w:pStyle w:val="BodyText"/>
      </w:pPr>
      <w:r>
        <w:t xml:space="preserve">Заметим, что обе формы давно перемешаны: вы переводите деньги со счёта на карту, снимаете наличные, платите телефоном, и вам всё равно, в какой форме они сейчас находятся. Это возможно именно потому, что одна денежная единица во всех формах равна одной и той же сумме.</w:t>
      </w:r>
    </w:p>
    <w:bookmarkEnd w:id="24"/>
    <w:bookmarkStart w:id="25" w:name="третья-форма"/>
    <w:p>
      <w:pPr>
        <w:pStyle w:val="Heading2"/>
      </w:pPr>
      <w:r>
        <w:t xml:space="preserve">Третья форма</w:t>
      </w:r>
    </w:p>
    <w:p>
      <w:pPr>
        <w:pStyle w:val="FirstParagraph"/>
      </w:pPr>
      <w:r>
        <w:t xml:space="preserve">Цифровой тенге устроен как гибрид. Он, как безналичные деньги, существует в виде записи, а не бумаги. Но он, как наличные, есть прямое обязательство Национального Банка. Закон 2026 года определяет его так: цифровая форма национальной валюты Республики Казахстан и законное платёжное средство; выпускать и погашать его вправе исключительно Национальный Банк [Ф-020].</w:t>
      </w:r>
    </w:p>
    <w:p>
      <w:pPr>
        <w:pStyle w:val="BodyText"/>
      </w:pPr>
      <w:r>
        <w:t xml:space="preserve">Этот гибрид принято называть цифровой валютой центрального банка, сокращённо ЦВЦБ (по-английски CBDC). В названии три слова, и каждое несёт смысл. «Валюта» — потому что это денежная единица государства, а не актив. «Центрального банка» — потому что выпускает её один публичный эмитент. «Цифровая» — слово с занятной родословной: русская «цифра» через латинское</w:t>
      </w:r>
      <w:r>
        <w:t xml:space="preserve"> </w:t>
      </w:r>
      <w:r>
        <w:rPr>
          <w:iCs/>
          <w:i/>
        </w:rPr>
        <w:t xml:space="preserve">cifra</w:t>
      </w:r>
      <w:r>
        <w:t xml:space="preserve"> </w:t>
      </w:r>
      <w:r>
        <w:t xml:space="preserve">восходит к арабскому</w:t>
      </w:r>
      <w:r>
        <w:t xml:space="preserve"> </w:t>
      </w:r>
      <w:r>
        <w:rPr>
          <w:iCs/>
          <w:i/>
        </w:rPr>
        <w:t xml:space="preserve">ṣifr</w:t>
      </w:r>
      <w:r>
        <w:t xml:space="preserve">, «пустота, ноль». Исходно это слово означало именно ноль, ту самую точку опоры, на которой держится вся позиционная запись чисел, а затем и двоичная логика компьютеров.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8EA0C0"/>
          <w:left w:val="single" w:sz="4" w:space="0" w:color="8EA0C0"/>
          <w:bottom w:val="single" w:sz="4" w:space="0" w:color="8EA0C0"/>
          <w:right w:val="single" w:sz="4" w:space="0" w:color="8EA0C0"/>
          <w:insideH w:val="single" w:sz="4" w:space="0" w:color="8EA0C0"/>
          <w:insideV w:val="single" w:sz="4" w:space="0" w:color="8EA0C0"/>
        </w:tblBorders>
        <w:tblCellMar>
          <w:top w:w="50" w:type="dxa"/>
          <w:left w:w="90" w:type="dxa"/>
          <w:bottom w:w="50" w:type="dxa"/>
          <w:right w:w="90" w:type="dxa"/>
        </w:tblCellMar>
        <w:tblW w:w="9412" w:type="dxa"/>
        <w:tblLayout w:type="fixed"/>
      </w:tblPr>
      <w:tblGrid>
        <w:gridCol w:w="1792"/>
        <w:gridCol w:w="2036"/>
        <w:gridCol w:w="2324"/>
        <w:gridCol w:w="3260"/>
      </w:tblGrid>
      <w:tr>
        <w:trPr>
          <w:tblHeader w:val="true"/>
          <w:cantSplit/>
          <w:tblHeader/>
        </w:trPr>
        <w:tc>
          <w:tcPr>
            <w:tcW w:type="dxa" w:w="1792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Свойство</w:t>
            </w:r>
          </w:p>
        </w:tc>
        <w:tc>
          <w:tcPr>
            <w:tcW w:type="dxa" w:w="2036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Наличные</w:t>
            </w:r>
          </w:p>
        </w:tc>
        <w:tc>
          <w:tcPr>
            <w:tcW w:type="dxa" w:w="2324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Безналичные</w:t>
            </w:r>
          </w:p>
        </w:tc>
        <w:tc>
          <w:tcPr>
            <w:tcW w:type="dxa" w:w="3260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Цифровой тенге</w:t>
            </w:r>
          </w:p>
        </w:tc>
      </w:tr>
      <w:tr>
        <w:trPr>
          <w:cantSplit/>
        </w:trPr>
        <w:tc>
          <w:tcPr>
            <w:tcW w:type="dxa" w:w="1792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Чьё обязательство</w:t>
            </w:r>
          </w:p>
        </w:tc>
        <w:tc>
          <w:tcPr>
            <w:tcW w:type="dxa" w:w="2036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Национального Банка</w:t>
            </w:r>
          </w:p>
        </w:tc>
        <w:tc>
          <w:tcPr>
            <w:tcW w:type="dxa" w:w="232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банка, где открыт счёт</w:t>
            </w:r>
          </w:p>
        </w:tc>
        <w:tc>
          <w:tcPr>
            <w:tcW w:type="dxa" w:w="3260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Национального Банка</w:t>
            </w:r>
          </w:p>
        </w:tc>
      </w:tr>
      <w:tr>
        <w:trPr>
          <w:cantSplit/>
        </w:trPr>
        <w:tc>
          <w:tcPr>
            <w:tcW w:type="dxa" w:w="1792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Где живёт</w:t>
            </w:r>
          </w:p>
        </w:tc>
        <w:tc>
          <w:tcPr>
            <w:tcW w:type="dxa" w:w="2036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 кошельке, кассе, сейфе</w:t>
            </w:r>
          </w:p>
        </w:tc>
        <w:tc>
          <w:tcPr>
            <w:tcW w:type="dxa" w:w="232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запись на счёте в банке</w:t>
            </w:r>
          </w:p>
        </w:tc>
        <w:tc>
          <w:tcPr>
            <w:tcW w:type="dxa" w:w="3260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цифровой счёт в банке, токены</w:t>
            </w:r>
          </w:p>
        </w:tc>
      </w:tr>
      <w:tr>
        <w:trPr>
          <w:cantSplit/>
        </w:trPr>
        <w:tc>
          <w:tcPr>
            <w:tcW w:type="dxa" w:w="1792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Как выглядит</w:t>
            </w:r>
          </w:p>
        </w:tc>
        <w:tc>
          <w:tcPr>
            <w:tcW w:type="dxa" w:w="2036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банкноты и монеты</w:t>
            </w:r>
          </w:p>
        </w:tc>
        <w:tc>
          <w:tcPr>
            <w:tcW w:type="dxa" w:w="232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цифры в банковском приложении</w:t>
            </w:r>
          </w:p>
        </w:tc>
        <w:tc>
          <w:tcPr>
            <w:tcW w:type="dxa" w:w="3260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токен с признаками условий</w:t>
            </w:r>
          </w:p>
        </w:tc>
      </w:tr>
      <w:tr>
        <w:trPr>
          <w:cantSplit/>
        </w:trPr>
        <w:tc>
          <w:tcPr>
            <w:tcW w:type="dxa" w:w="1792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Без интернета</w:t>
            </w:r>
          </w:p>
        </w:tc>
        <w:tc>
          <w:tcPr>
            <w:tcW w:type="dxa" w:w="2036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да, всегда</w:t>
            </w:r>
          </w:p>
        </w:tc>
        <w:tc>
          <w:tcPr>
            <w:tcW w:type="dxa" w:w="232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нет: нужна связь с банком</w:t>
            </w:r>
          </w:p>
        </w:tc>
        <w:tc>
          <w:tcPr>
            <w:tcW w:type="dxa" w:w="3260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правила допускают хранение на внешних носителях</w:t>
            </w:r>
          </w:p>
        </w:tc>
      </w:tr>
      <w:tr>
        <w:trPr>
          <w:cantSplit/>
        </w:trPr>
        <w:tc>
          <w:tcPr>
            <w:tcW w:type="dxa" w:w="17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Условия внутри денег</w:t>
            </w:r>
          </w:p>
        </w:tc>
        <w:tc>
          <w:tcPr>
            <w:tcW w:type="dxa" w:w="20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нет</w:t>
            </w:r>
          </w:p>
        </w:tc>
        <w:tc>
          <w:tcPr>
            <w:tcW w:type="dxa" w:w="232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нет: контроль после платежа</w:t>
            </w:r>
          </w:p>
        </w:tc>
        <w:tc>
          <w:tcPr>
            <w:tcW w:type="dxa" w:w="326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можно: маркировка и холдирование</w:t>
            </w:r>
          </w:p>
        </w:tc>
      </w:tr>
    </w:tbl>
    <w:p>
      <w:pPr>
        <w:pStyle w:val="BodyText"/>
      </w:pPr>
      <w:r>
        <w:rPr>
          <w:iCs/>
          <w:i/>
        </w:rPr>
        <w:t xml:space="preserve">Таблица. Три формы тенге</w:t>
      </w:r>
      <w:r>
        <w:t xml:space="preserve"> </w:t>
      </w:r>
      <w:r>
        <w:t xml:space="preserve">[Ф-020] [Ф-084] [Ф-006]</w:t>
      </w:r>
    </w:p>
    <w:bookmarkEnd w:id="25"/>
    <w:bookmarkStart w:id="26" w:name="с-чем-цифровой-тенге-легко-спутать"/>
    <w:p>
      <w:pPr>
        <w:pStyle w:val="Heading2"/>
      </w:pPr>
      <w:r>
        <w:t xml:space="preserve">С чем цифровой тенге легко спутать</w:t>
      </w:r>
    </w:p>
    <w:p>
      <w:pPr>
        <w:pStyle w:val="FirstParagraph"/>
      </w:pPr>
      <w:r>
        <w:t xml:space="preserve">Вокруг цифровых денег много путаницы, поэтому проведём границы.</w:t>
      </w:r>
    </w:p>
    <w:p>
      <w:pPr>
        <w:pStyle w:val="BodyText"/>
      </w:pPr>
      <w:r>
        <w:rPr>
          <w:iCs/>
          <w:i/>
        </w:rPr>
        <w:t xml:space="preserve">Он не криптовалюта.</w:t>
      </w:r>
      <w:r>
        <w:t xml:space="preserve"> </w:t>
      </w:r>
      <w:r>
        <w:t xml:space="preserve">У биткоина нет должника: никто не обязан выкупить его по какой-то цене, доверие держится на математике и ожиданиях участников. У цифрового тенге должник есть, и это Нацбанк. Сеть закрытая: эмиссия централизованная, а участников реестра допускает централизованное решение [Ф-104]; майнинга здесь нет.</w:t>
      </w:r>
    </w:p>
    <w:p>
      <w:pPr>
        <w:pStyle w:val="BodyText"/>
      </w:pPr>
      <w:r>
        <w:rPr>
          <w:iCs/>
          <w:i/>
        </w:rPr>
        <w:t xml:space="preserve">Он не электронные деньги.</w:t>
      </w:r>
      <w:r>
        <w:t xml:space="preserve"> </w:t>
      </w:r>
      <w:r>
        <w:t xml:space="preserve">Электронные деньги — это обязательство частной или государственной компании перед владельцем, привязанное к остатку на её счетах: по сути, право требования. До закона 2026 года цифровой тенге в пилотах формально проходил именно как электронные деньги, потому что другой правовой формы не существовало; итоговый доклад оператора прямо называет это ограничением и объясняет, почему потребовался закон [Ф-012].</w:t>
      </w:r>
    </w:p>
    <w:p>
      <w:pPr>
        <w:pStyle w:val="BodyText"/>
      </w:pPr>
      <w:r>
        <w:rPr>
          <w:iCs/>
          <w:i/>
        </w:rPr>
        <w:t xml:space="preserve">Он не стейблкоин.</w:t>
      </w:r>
      <w:r>
        <w:t xml:space="preserve"> </w:t>
      </w:r>
      <w:r>
        <w:t xml:space="preserve">Стейблкоин (англ.</w:t>
      </w:r>
      <w:r>
        <w:t xml:space="preserve"> </w:t>
      </w:r>
      <w:r>
        <w:rPr>
          <w:iCs/>
          <w:i/>
        </w:rPr>
        <w:t xml:space="preserve">stable coin</w:t>
      </w:r>
      <w:r>
        <w:t xml:space="preserve">, «устойчивая монета») — цифровой актив, привязанный к валюте и обеспеченный резервом частного эмитента. Это отдельная история: правила для таких активов Нацбанк утвердил в апреле 2026 года отдельным постановлением [Ф-056].</w:t>
      </w:r>
    </w:p>
    <w:p>
      <w:pPr>
        <w:pStyle w:val="BodyText"/>
      </w:pPr>
      <w:r>
        <w:t xml:space="preserve">Итак, цифровой тенге — те же деньги, только в новой, программируемой оболочке и без посредника-должника. Но зачем она нужна? Чтобы ответить, вернёмся на шесть лет назад.</w:t>
      </w:r>
    </w:p>
    <w:bookmarkEnd w:id="26"/>
    <w:bookmarkEnd w:id="27"/>
    <w:bookmarkStart w:id="31" w:name="history"/>
    <w:p>
      <w:pPr>
        <w:pStyle w:val="Heading1"/>
        <w:pageBreakBefore/>
      </w:pPr>
      <w:r>
        <w:t xml:space="preserve">Как проект дошёл до закона</w:t>
      </w:r>
    </w:p>
    <w:p>
      <w:pPr>
        <w:pStyle w:val="FirstParagraph"/>
      </w:pPr>
      <w:r>
        <w:t xml:space="preserve">В ноябре 2020 года, когда мир сидел по домам из-за пандемии, Национальный Банк объявил исследовательский проект по цифровой валюте [Ф-044]. Мотивы названы в тех самых докладах: ускоренное развитие небанковских платёжных платформ, опасение за денежный суверенитет и необходимость цифровизации платёжных инструментов [Ф-110]. Заметим, что тогда никто не обещал выпуск: решение ещё не было принято.</w:t>
      </w:r>
    </w:p>
    <w:p>
      <w:pPr>
        <w:pStyle w:val="BodyText"/>
      </w:pPr>
      <w:r>
        <w:t xml:space="preserve">Проект двигался методично, почти как лабораторный эксперимент. В мае 2021 года был опубликован доклад для публичного обсуждения, а через неделю в онлайн-дискуссии участвовали более 150 человек из банков, ведомств и бизнеса [Ф-044]. С июня 2021 года работал первый пилот [Ф-080], в декабре вышел доклад о его итогах [Ф-053]. Летом 2022 года Нацбанк опубликовал «модель принятия решения»: список вопросов и критериев, по которым будет решено, нужен ли цифровой тенге вообще [Ф-053]. В октябре 2022 года платформу проверили на реальных людях и предприятиях, а 15 декабря 2022 года вышел итоговый доклад и было принято решение внедрять цифровой тенге поэтапно, в три фазы до конца 2025 года [Ф-039] [Ф-052].</w:t>
      </w:r>
    </w:p>
    <w:bookmarkStart w:id="28" w:name="от-эксперимента-к-эксплуатации"/>
    <w:p>
      <w:pPr>
        <w:pStyle w:val="Heading2"/>
      </w:pPr>
      <w:r>
        <w:t xml:space="preserve">От эксперимента к эксплуатации</w:t>
      </w:r>
    </w:p>
    <w:p>
      <w:pPr>
        <w:pStyle w:val="FirstParagraph"/>
      </w:pPr>
      <w:r>
        <w:t xml:space="preserve">Дальше проект перешёл из ведения Нацбанка в руки специально созданной компании. Акционерное общество «Национальная платёжная корпорация» (НПК) образовано в сентябре 2023 года и стало оператором платформы [Ф-061]. 15 ноября 2023 года началась опытно-промышленная эксплуатация: слово «опытно» означает, что система уже работает с настоящими деньгами, но на ограниченном круге участников [Ф-039].</w:t>
      </w:r>
    </w:p>
    <w:p>
      <w:pPr>
        <w:pStyle w:val="BodyText"/>
      </w:pPr>
      <w:r>
        <w:t xml:space="preserve">В 2024–2025 годах акцент сместился. Сначала проект целил в розницу: карты, переводы, оплату в магазинах. По нашей оценке, это оказалось трудным путём: в стране, где около 87% платежей уже безналичные [Ф-003], человеку непросто объяснить, зачем ему ещё одна форма денег. Зато там, где важно проследить путь денег, у цифрового тенге появилось преимущество. Так проект стал инструментом платежей с участием государства: в июле 2025 года на совещании у Премьер-министра было поручено перевести в этот формат не менее 100 крупных проектов, финансируемых из Национального фонда и бюджета [Ф-096].</w:t>
      </w:r>
    </w:p>
    <w:bookmarkEnd w:id="28"/>
    <w:bookmarkStart w:id="29" w:name="закон-и-правила"/>
    <w:p>
      <w:pPr>
        <w:pStyle w:val="Heading2"/>
      </w:pPr>
      <w:r>
        <w:t xml:space="preserve">Закон и правила</w:t>
      </w:r>
    </w:p>
    <w:p>
      <w:pPr>
        <w:pStyle w:val="FirstParagraph"/>
      </w:pPr>
      <w:r>
        <w:t xml:space="preserve">Следующий шаг был юридическим. До 2026 года у цифрового тенге не было собственного статуса: он существовал на пилотной площадке, оформленный по правилам электронных денег. 16 января 2026 года были подписаны законы, закрепившие его как третью форму национальной валюты; нормы о цифровом тенге вступили в силу 18 июля 2026 года [Ф-018] [Ф-019]. Через день заработали Правила выпуска, обращения и погашения, утверждённые постановлением Нацбанка № 42 [Ф-054].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8EA0C0"/>
          <w:left w:val="single" w:sz="4" w:space="0" w:color="8EA0C0"/>
          <w:bottom w:val="single" w:sz="4" w:space="0" w:color="8EA0C0"/>
          <w:right w:val="single" w:sz="4" w:space="0" w:color="8EA0C0"/>
          <w:insideH w:val="single" w:sz="4" w:space="0" w:color="8EA0C0"/>
          <w:insideV w:val="single" w:sz="4" w:space="0" w:color="8EA0C0"/>
        </w:tblBorders>
        <w:tblCellMar>
          <w:top w:w="50" w:type="dxa"/>
          <w:left w:w="90" w:type="dxa"/>
          <w:bottom w:w="50" w:type="dxa"/>
          <w:right w:w="90" w:type="dxa"/>
        </w:tblCellMar>
        <w:tblW w:w="9412" w:type="dxa"/>
        <w:tblLayout w:type="fixed"/>
      </w:tblPr>
      <w:tblGrid>
        <w:gridCol w:w="1056"/>
        <w:gridCol w:w="2299"/>
        <w:gridCol w:w="4993"/>
        <w:gridCol w:w="1064"/>
      </w:tblGrid>
      <w:tr>
        <w:trPr>
          <w:tblHeader w:val="true"/>
          <w:cantSplit/>
          <w:tblHeader/>
        </w:trPr>
        <w:tc>
          <w:tcPr>
            <w:tcW w:type="dxa" w:w="1056"/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Дата</w:t>
            </w:r>
          </w:p>
        </w:tc>
        <w:tc>
          <w:tcPr>
            <w:tcW w:type="dxa" w:w="2299"/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Событие</w:t>
            </w:r>
          </w:p>
        </w:tc>
        <w:tc>
          <w:tcPr>
            <w:tcW w:type="dxa" w:w="4993"/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Что произошло</w:t>
            </w:r>
          </w:p>
        </w:tc>
        <w:tc>
          <w:tcPr>
            <w:tcW w:type="dxa" w:w="1064"/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11.2020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Нацбанк объявил исследовательский проект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Начало работы над цифровой валютой; решение о выпуске ещё не принято. [Ф-044]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05.2021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Доклад для публичного обсуждения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5 мая опубликован доклад, 12 мая онлайн-обсуждение с участием более 150 человек. [Ф-044]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06.2021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Старт первого пилота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Прототип платформы и первые сценарии с участием банков. [Ф-080]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пилот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12.2021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Доклад об итогах пилота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Подтверждена техническая реализуемость концепции. [Ф-053]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пилот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06.2022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Запуск Digital Tenge Hub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Площадка для обсуждения с рынком, экспертами и ведомствами. [Ф-080]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07.2022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Модель принятия решения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Нацбанк публикует критерии, по которым решит, нужен ли цифровой тенге. [Ф-053]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10.2022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Пилот с реальными людьми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Закрытый контур: 200 человек и четыре предприятия. [Ф-043]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пилот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12.2022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Решение о поэтапном внедрении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Три фазы до конца 2025 года. [Ф-039] [Ф-052]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09.2023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Создана НПК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Национальная платёжная корпорация становится оператором платформы. [Ф-061]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11.2023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Опытно-промышленная эксплуатация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15 ноября: платформа начинает работу с реальными деньгами на ограниченном круге участников. [Ф-039]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пилот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06.2024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МВФ о проекте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Блог МВФ называет Казахстан наиболее продвинутой страной региона по цифровой валюте. [Ф-099]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мир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07.2024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Меморандум с Народным банком Китая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Сотрудничество по цифровым валютам. [Ф-063]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мир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07.2025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Поручение Премьер-министра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Перевести в цифровой тенге не менее 100 крупных проектов; названо 257,5 млрд выпущенных тенге. [Ф-096]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12.2025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Восемь сценариев и 336,6 млрд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К концу года на платформе работают восемь пилотных сценариев. [Ф-007] [Ф-102]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пилот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01.2026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Подписаны законы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16 января: цифровой тенге закрепляется как третья форма национальной валюты. [Ф-018]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закон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02.2026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Цифровой НДС в госзакупках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 февраля стартует пилот, участие добровольное. [Ф-086]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пилот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04.2026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Правила Нацбанка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10 апреля — правила для стейблкоинов, 29 апреля — Правила № 42 о выпуске, обращении и погашении. [Ф-056] [Ф-054]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закон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06.2026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Пилот Минфина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Приказ от 8 июня; с 27 июня платежи свыше 100 млн тенге по перечню статей идут в цифровом тенге. [Ф-085]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закон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07.2026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Цифровой тенге — законное платёжное средство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18 июля вступают в силу нормы закона, 19 июля — Правила Нацбанка. [Ф-019] [Ф-054]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закон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08.2026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Договорённость с Китаем о пилоте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Расчёты в цифровом тенге и цифровом юане: пока договорённость, не платежи. [Ф-090]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мир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09.2026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Тарифы и цель в 2 трлн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6 сентября введены тарифы платформы; 11 сентября Нацбанк назвал цель в 2 трлн тенге за 12 месяцев. [Ф-078] [Ф-088]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09.2026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Цифровой рубль в массовом обращении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 сентября в России (для сравнения). [Ф-074]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мир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10.2026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Перечень бюджетных расходов и девять банков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23 октября принято постановление Правительства (в силе с 30 октября); на 27 октября в проекте участвуют девять банков. [Ф-087] [Ф-081]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закон</w:t>
            </w:r>
          </w:p>
        </w:tc>
      </w:tr>
    </w:tbl>
    <w:p>
      <w:pPr>
        <w:pStyle w:val="BodyText"/>
      </w:pPr>
      <w:r>
        <w:rPr>
          <w:iCs/>
          <w:i/>
        </w:rPr>
        <w:t xml:space="preserve">Таблица. Хронология проекта, 2020–2026</w:t>
      </w:r>
    </w:p>
    <w:bookmarkEnd w:id="29"/>
    <w:bookmarkStart w:id="30" w:name="что-получилось-по-срокам"/>
    <w:p>
      <w:pPr>
        <w:pStyle w:val="Heading2"/>
      </w:pPr>
      <w:r>
        <w:t xml:space="preserve">Что получилось по срокам</w:t>
      </w:r>
    </w:p>
    <w:p>
      <w:pPr>
        <w:pStyle w:val="FirstParagraph"/>
      </w:pPr>
      <w:r>
        <w:t xml:space="preserve">План 2022 года обещал «промышленную эксплуатацию до конца 2025 года». Технологически к этому сроку платформа была готова; юридически она обзавелась статусом только в июле 2026 года; по масштабу использования проект ещё далёк от массового. Это обычная судьба нового платёжного инструмента: самое трудное — не построить, а заставить пользоваться.</w:t>
      </w:r>
    </w:p>
    <w:p>
      <w:pPr>
        <w:pStyle w:val="BodyText"/>
      </w:pPr>
      <w:r>
        <w:t xml:space="preserve">Но прежде чем говорить о масштабе, разберёмся, как эта машина устроена.</w:t>
      </w:r>
    </w:p>
    <w:bookmarkEnd w:id="30"/>
    <w:bookmarkEnd w:id="31"/>
    <w:bookmarkStart w:id="38" w:name="machine"/>
    <w:p>
      <w:pPr>
        <w:pStyle w:val="Heading1"/>
        <w:pageBreakBefore/>
      </w:pPr>
      <w:r>
        <w:t xml:space="preserve">Как устроена машина</w:t>
      </w:r>
    </w:p>
    <w:p>
      <w:pPr>
        <w:pStyle w:val="FirstParagraph"/>
      </w:pPr>
      <w:r>
        <w:t xml:space="preserve">Представьте две схемы расчёта. В первой вы идёте в кассу и протягиваете купюру: передаётся не запись о долге, а сама вещь. Во второй вы говорите банку «переведи», и банк уменьшает цифру на вашем счёте и увеличивает цифру на счёте продавца: передаются не деньги, а изменения записей. Экономисты называют первую модель</w:t>
      </w:r>
      <w:r>
        <w:t xml:space="preserve"> </w:t>
      </w:r>
      <w:r>
        <w:rPr>
          <w:iCs/>
          <w:i/>
        </w:rPr>
        <w:t xml:space="preserve">token-based</w:t>
      </w:r>
      <w:r>
        <w:t xml:space="preserve">, вторую —</w:t>
      </w:r>
      <w:r>
        <w:t xml:space="preserve"> </w:t>
      </w:r>
      <w:r>
        <w:rPr>
          <w:iCs/>
          <w:i/>
        </w:rPr>
        <w:t xml:space="preserve">account-based</w:t>
      </w:r>
      <w:r>
        <w:t xml:space="preserve">.</w:t>
      </w:r>
    </w:p>
    <w:p>
      <w:pPr>
        <w:pStyle w:val="BodyText"/>
      </w:pPr>
      <w:r>
        <w:t xml:space="preserve">Цифровой тенге построен по первой схеме, только вещь у него цифровая. Это токен: слово пришло из древнеанглийского</w:t>
      </w:r>
      <w:r>
        <w:t xml:space="preserve"> </w:t>
      </w:r>
      <w:r>
        <w:rPr>
          <w:iCs/>
          <w:i/>
        </w:rPr>
        <w:t xml:space="preserve">tācen</w:t>
      </w:r>
      <w:r>
        <w:t xml:space="preserve">, «знак, примета», и его английский потомок</w:t>
      </w:r>
      <w:r>
        <w:t xml:space="preserve"> </w:t>
      </w:r>
      <w:r>
        <w:rPr>
          <w:iCs/>
          <w:i/>
        </w:rPr>
        <w:t xml:space="preserve">token</w:t>
      </w:r>
      <w:r>
        <w:t xml:space="preserve"> </w:t>
      </w:r>
      <w:r>
        <w:t xml:space="preserve">знаком нам по жетону для метро. Жетон сам по себе ничего не стоит, но даёт право на услугу. Цифровой токен — запись, которая несёт в себе указание на сумму и подтверждается криптографически.</w:t>
      </w:r>
    </w:p>
    <w:bookmarkStart w:id="35" w:name="два-этажа"/>
    <w:p>
      <w:pPr>
        <w:pStyle w:val="Heading2"/>
      </w:pPr>
      <w:r>
        <w:t xml:space="preserve">Два этажа</w:t>
      </w:r>
    </w:p>
    <w:p>
      <w:pPr>
        <w:pStyle w:val="FirstParagraph"/>
      </w:pPr>
      <w:r>
        <w:t xml:space="preserve">Устройство системы называют двухуровневым. На первом этаже стоит Национальный Банк: он выпускает и погашает цифровые тенге. На втором — банки и другие поставщики услуг, которые работают с вами: открывают счета, проверяют личность, принимают платежи. Нацбанк предоставляет инфраструктуру, а конечные сервисы оказывают участники рынка [Ф-104]. Закон 2026 года закрепил это как норму: банки, предлагающие мобильные приложения, обязаны использовать компоненты национальной цифровой финансовой инфраструктуры для операций с цифровым тенге [Ф-022].</w:t>
      </w:r>
    </w:p>
    <w:p>
      <w:pPr>
        <w:pStyle w:val="BodyText"/>
      </w:pPr>
      <w:r>
        <w:t xml:space="preserve">Сегодня список банков-участников на сайте оператора включает девять названий: Народный банк Казахстана, Банк Развития Казахстана, БиЭнКей, Forte Bank, Bank RBK, Евразийский банк, Банк ЦентрКредит, Alatau City Bank и «Казпочта» [Ф-081].</w:t>
      </w:r>
    </w:p>
    <w:p>
      <w:pPr>
        <w:pStyle w:val="CaptionedFigure"/>
      </w:pPr>
      <w:r>
        <w:drawing>
          <wp:inline>
            <wp:extent cx="5969000" cy="2270028"/>
            <wp:effectExtent b="0" l="0" r="0" t="0"/>
            <wp:docPr descr="Путь цифрового тенге: от выпуска до погашения" title="" id="33" name="Picture"/>
            <a:graphic>
              <a:graphicData uri="http://schemas.openxmlformats.org/drawingml/2006/picture">
                <pic:pic>
                  <pic:nvPicPr>
                    <pic:cNvPr descr="figures/lifecycl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270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цифрового тенге: от выпуска до погашения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Выпуск.</w:t>
      </w:r>
      <w:r>
        <w:t xml:space="preserve"> </w:t>
      </w:r>
      <w:r>
        <w:t xml:space="preserve">Клиент через банк просит выпустить цифровые тенге и вносит равную сумму обычных денег. Нацбанк — единственный эмитент: он выпускает токены в обмен на эту сумму. [Ф-020]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Цифровой счёт.</w:t>
      </w:r>
      <w:r>
        <w:t xml:space="preserve"> </w:t>
      </w:r>
      <w:r>
        <w:t xml:space="preserve">Токены оказываются на цифровом счёте клиента. В приложении банка он выглядит как обычный кошелёк; открыть счёт можно бесплатно. [Ф-024]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Платёж.</w:t>
      </w:r>
      <w:r>
        <w:t xml:space="preserve"> </w:t>
      </w:r>
      <w:r>
        <w:t xml:space="preserve">Клиент платит продавцу: по QR-коду, NFC или номеру. Нотариальная нода проверяет, что токен ещё не потрачен, но не видит, кто и кому платит. [Ф-106]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Условия.</w:t>
      </w:r>
      <w:r>
        <w:t xml:space="preserve"> </w:t>
      </w:r>
      <w:r>
        <w:t xml:space="preserve">Если токены маркированы, платёж пройдёт только к разрешённому получателю. Если они захолдированы, ждут события, о котором сообщит оракул. [Ф-006] [Ф-106]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Погашение.</w:t>
      </w:r>
      <w:r>
        <w:t xml:space="preserve"> </w:t>
      </w:r>
      <w:r>
        <w:t xml:space="preserve">Продавец возвращает цифровые тенге в обычные: Нацбанк погашает токены, банк зачисляет сумму на банковский счёт. Наличные можно получить уже с банковского счёта. [Ф-020]</w:t>
      </w:r>
    </w:p>
    <w:bookmarkEnd w:id="35"/>
    <w:bookmarkStart w:id="36" w:name="что-внутри"/>
    <w:p>
      <w:pPr>
        <w:pStyle w:val="Heading2"/>
      </w:pPr>
      <w:r>
        <w:t xml:space="preserve">Что внутри</w:t>
      </w:r>
    </w:p>
    <w:p>
      <w:pPr>
        <w:pStyle w:val="FirstParagraph"/>
      </w:pPr>
      <w:r>
        <w:t xml:space="preserve">В основе платформы лежит технология распределённых реестров. Реестр — это книга записей; «распределённый» значит, что копии книги хранятся у нескольких участников и синхронизируются по правилам. Блокчейн — частный случай такой книги: записи сложены в блоки, скреплённые в цепочку. Но казахстанская платформа — не публичный блокчейн вроде биткоина, а закрытая сеть известных участников. Она работает на платформе Corda: её выбрали, в том числе, по причинам безопасности и приватности, потому что платформа позволяет управлять анонимностью, конфиденциальностью и отслеживаемостью операций [Ф-105].</w:t>
      </w:r>
    </w:p>
    <w:p>
      <w:pPr>
        <w:pStyle w:val="BodyText"/>
      </w:pPr>
      <w:r>
        <w:t xml:space="preserve">В сети есть несколько типов узлов, и два из них стоит запомнить, потому что на них держится всё остальное.</w:t>
      </w:r>
    </w:p>
    <w:p>
      <w:pPr>
        <w:pStyle w:val="BodyText"/>
      </w:pPr>
      <w:r>
        <w:rPr>
          <w:iCs/>
          <w:i/>
        </w:rPr>
        <w:t xml:space="preserve">Нотариальная нода.</w:t>
      </w:r>
      <w:r>
        <w:t xml:space="preserve"> </w:t>
      </w:r>
      <w:r>
        <w:t xml:space="preserve">Название заимствовано из юриспруденции: нотариус удостоверяет факт, не вникая в содержание документа. Так и здесь: узел проверяет, что токен ещё не был потрачен дважды, но не видит, кто, кому и за что платит [Ф-106]. Защита от «двойной траты» — старейшая проблема цифровых денег: файл ведь можно скопировать, а деньги нельзя.</w:t>
      </w:r>
    </w:p>
    <w:p>
      <w:pPr>
        <w:pStyle w:val="BodyText"/>
      </w:pPr>
      <w:r>
        <w:rPr>
          <w:iCs/>
          <w:i/>
        </w:rPr>
        <w:t xml:space="preserve">Нода-оракул.</w:t>
      </w:r>
      <w:r>
        <w:t xml:space="preserve"> </w:t>
      </w:r>
      <w:r>
        <w:t xml:space="preserve">Слово пришло из латыни:</w:t>
      </w:r>
      <w:r>
        <w:t xml:space="preserve"> </w:t>
      </w:r>
      <w:r>
        <w:rPr>
          <w:iCs/>
          <w:i/>
        </w:rPr>
        <w:t xml:space="preserve">oraculum</w:t>
      </w:r>
      <w:r>
        <w:t xml:space="preserve"> </w:t>
      </w:r>
      <w:r>
        <w:t xml:space="preserve">— «прорицалище, изречение», от</w:t>
      </w:r>
      <w:r>
        <w:t xml:space="preserve"> </w:t>
      </w:r>
      <w:r>
        <w:rPr>
          <w:iCs/>
          <w:i/>
        </w:rPr>
        <w:t xml:space="preserve">orare</w:t>
      </w:r>
      <w:r>
        <w:t xml:space="preserve">, «говорить, молить». В блокчейн-технике оракулом называют службу, которая сообщает программе факты из внешнего мира: счёт выставлен, груз доставлен, животное переоформлено. Сам реестр слеп к реальности, и ему нужен вестник. Оператор подчёркивает: оракул сам источником данных не служит, он лишь запрашивает и передаёт их [Ф-106].</w:t>
      </w:r>
    </w:p>
    <w:bookmarkEnd w:id="36"/>
    <w:bookmarkStart w:id="37" w:name="какие-тут-риски"/>
    <w:p>
      <w:pPr>
        <w:pStyle w:val="Heading2"/>
      </w:pPr>
      <w:r>
        <w:t xml:space="preserve">Какие тут риски</w:t>
      </w:r>
    </w:p>
    <w:p>
      <w:pPr>
        <w:pStyle w:val="FirstParagraph"/>
      </w:pPr>
      <w:r>
        <w:t xml:space="preserve">Авторы White Paper 2022 года честно перечислили технологические риски: на рынке не было готового решения, полностью отвечающего задаче и уже работающего в какой-либо стране; выбор платформы конкретного поставщика создаёт зависимость; закрытые тесты показали допустимую производительность, но её надо проверять в условиях, близких к реальным [Ф-108]. Опубликованных показателей нагрузки (сколько операций в секунду выдержит система) в открытых материалах нет, и об этом надо помнить, читая обещания «масштабирования».</w:t>
      </w:r>
    </w:p>
    <w:p>
      <w:pPr>
        <w:pStyle w:val="BodyText"/>
      </w:pPr>
      <w:r>
        <w:t xml:space="preserve">Теперь о главном свойстве, ради которого всё затевалось: умении денег читать условия.</w:t>
      </w:r>
    </w:p>
    <w:bookmarkEnd w:id="37"/>
    <w:bookmarkEnd w:id="38"/>
    <w:bookmarkStart w:id="43" w:name="programmable"/>
    <w:p>
      <w:pPr>
        <w:pStyle w:val="Heading1"/>
        <w:pageBreakBefore/>
      </w:pPr>
      <w:r>
        <w:t xml:space="preserve">Деньги, которые читают условия</w:t>
      </w:r>
    </w:p>
    <w:p>
      <w:pPr>
        <w:pStyle w:val="FirstParagraph"/>
      </w:pPr>
      <w:r>
        <w:t xml:space="preserve">Обычные деньги слепы к назначению. Если государство перевело подрядчику 10 млрд тенге на строительство дороги, ничто в самих деньгах не мешает потратить их на что угодно: контроль идёт отдельно, после платежа, по отчётам и проверкам. Цифровой тенге позволяет сместить контроль внутрь: условие записано в самой монете.</w:t>
      </w:r>
    </w:p>
    <w:p>
      <w:pPr>
        <w:pStyle w:val="BodyText"/>
      </w:pPr>
      <w:r>
        <w:t xml:space="preserve">Это свойство называют программируемостью. В отчётах оператора оно сведено к двум приёмам, которые стоит разобрать по очереди [Ф-006].</w:t>
      </w:r>
    </w:p>
    <w:bookmarkStart w:id="39" w:name="маркировка-конверт-с-надписью"/>
    <w:p>
      <w:pPr>
        <w:pStyle w:val="Heading2"/>
      </w:pPr>
      <w:r>
        <w:t xml:space="preserve">Маркировка: конверт с надписью</w:t>
      </w:r>
    </w:p>
    <w:p>
      <w:pPr>
        <w:pStyle w:val="FirstParagraph"/>
      </w:pPr>
      <w:r>
        <w:t xml:space="preserve">Представьте конверт с деньгами, на котором написано: «только для оплаты материалов у такого-то поставщика». Нарушить надпись нельзя: другой получатель просто не сможет принять деньги. Это маркировка: слово пришло из немецкого</w:t>
      </w:r>
      <w:r>
        <w:t xml:space="preserve"> </w:t>
      </w:r>
      <w:r>
        <w:rPr>
          <w:iCs/>
          <w:i/>
        </w:rPr>
        <w:t xml:space="preserve">markieren</w:t>
      </w:r>
      <w:r>
        <w:t xml:space="preserve"> </w:t>
      </w:r>
      <w:r>
        <w:t xml:space="preserve">(«отмечать») через французское</w:t>
      </w:r>
      <w:r>
        <w:t xml:space="preserve"> </w:t>
      </w:r>
      <w:r>
        <w:rPr>
          <w:iCs/>
          <w:i/>
        </w:rPr>
        <w:t xml:space="preserve">marque</w:t>
      </w:r>
      <w:r>
        <w:t xml:space="preserve"> </w:t>
      </w:r>
      <w:r>
        <w:t xml:space="preserve">(«знак»). Закон определяет её как присвоение цифровому тенге уникальных знаков для последующей идентификации [Ф-023].</w:t>
      </w:r>
    </w:p>
    <w:p>
      <w:pPr>
        <w:pStyle w:val="BodyText"/>
      </w:pPr>
      <w:r>
        <w:t xml:space="preserve">На практике цепочка выглядит так: заказчик перечисляет деньги генподрядчику; генподрядчик может заплатить только своему субподрядчику; тот — только своему поставщику. По признанию оператора, надёжно отследить удаётся до двух-трёх звеньев [Ф-009]. Дальше цепочка теряется: слишком много участников, слишком много исключений.</w:t>
      </w:r>
    </w:p>
    <w:p>
      <w:pPr>
        <w:pStyle w:val="BodyText"/>
      </w:pPr>
      <w:r>
        <w:rPr>
          <w:iCs/>
          <w:i/>
        </w:rPr>
        <w:t xml:space="preserve">Пример (глубина маркировки — 2 звена). Генподрядчик пытается потратить 10 млн условных единиц: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8EA0C0"/>
          <w:left w:val="single" w:sz="4" w:space="0" w:color="8EA0C0"/>
          <w:bottom w:val="single" w:sz="4" w:space="0" w:color="8EA0C0"/>
          <w:right w:val="single" w:sz="4" w:space="0" w:color="8EA0C0"/>
          <w:insideH w:val="single" w:sz="4" w:space="0" w:color="8EA0C0"/>
          <w:insideV w:val="single" w:sz="4" w:space="0" w:color="8EA0C0"/>
        </w:tblBorders>
        <w:tblCellMar>
          <w:top w:w="50" w:type="dxa"/>
          <w:left w:w="90" w:type="dxa"/>
          <w:bottom w:w="50" w:type="dxa"/>
          <w:right w:w="90" w:type="dxa"/>
        </w:tblCellMar>
        <w:tblW w:w="9412" w:type="dxa"/>
        <w:tblLayout w:type="fixed"/>
      </w:tblPr>
      <w:tblGrid>
        <w:gridCol w:w="3728"/>
        <w:gridCol w:w="5684"/>
      </w:tblGrid>
      <w:tr>
        <w:trPr>
          <w:tblHeader w:val="true"/>
          <w:cantSplit/>
          <w:tblHeader/>
        </w:trPr>
        <w:tc>
          <w:tcPr>
            <w:tcW w:type="dxa" w:w="3728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Получатель</w:t>
            </w:r>
          </w:p>
        </w:tc>
        <w:tc>
          <w:tcPr>
            <w:tcW w:type="dxa" w:w="5684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372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Свой субподрядчик</w:t>
            </w:r>
          </w:p>
        </w:tc>
        <w:tc>
          <w:tcPr>
            <w:tcW w:type="dxa" w:w="568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разрешено</w:t>
            </w:r>
          </w:p>
        </w:tc>
      </w:tr>
      <w:tr>
        <w:trPr>
          <w:cantSplit/>
        </w:trPr>
        <w:tc>
          <w:tcPr>
            <w:tcW w:type="dxa" w:w="372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Поставщик субподрядчика</w:t>
            </w:r>
          </w:p>
        </w:tc>
        <w:tc>
          <w:tcPr>
            <w:tcW w:type="dxa" w:w="568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разрешено</w:t>
            </w:r>
          </w:p>
        </w:tc>
      </w:tr>
      <w:tr>
        <w:trPr>
          <w:cantSplit/>
        </w:trPr>
        <w:tc>
          <w:tcPr>
            <w:tcW w:type="dxa" w:w="372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Поставщик поставщика</w:t>
            </w:r>
          </w:p>
        </w:tc>
        <w:tc>
          <w:tcPr>
            <w:tcW w:type="dxa" w:w="568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заблокировано: третий уровень вне глубины</w:t>
            </w:r>
          </w:p>
        </w:tc>
      </w:tr>
      <w:tr>
        <w:trPr>
          <w:cantSplit/>
        </w:trPr>
        <w:tc>
          <w:tcPr>
            <w:tcW w:type="dxa" w:w="372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Посторонняя компания</w:t>
            </w:r>
          </w:p>
        </w:tc>
        <w:tc>
          <w:tcPr>
            <w:tcW w:type="dxa" w:w="568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заблокировано: нет в параметрах маркировки</w:t>
            </w:r>
          </w:p>
        </w:tc>
      </w:tr>
      <w:tr>
        <w:trPr>
          <w:cantSplit/>
        </w:trPr>
        <w:tc>
          <w:tcPr>
            <w:tcW w:type="dxa" w:w="372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Вывод из системы</w:t>
            </w:r>
          </w:p>
        </w:tc>
        <w:tc>
          <w:tcPr>
            <w:tcW w:type="dxa" w:w="568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ограничен параметрами маркировки</w:t>
            </w:r>
          </w:p>
        </w:tc>
      </w:tr>
    </w:tbl>
    <w:p>
      <w:pPr>
        <w:pStyle w:val="BodyText"/>
      </w:pPr>
      <w:r>
        <w:t xml:space="preserve">Практически надёжно отследить удаётся 2–3 звена цепочки [Ф-009] [Ф-023]</w:t>
      </w:r>
    </w:p>
    <w:bookmarkEnd w:id="39"/>
    <w:bookmarkStart w:id="40" w:name="холдирование-деньги-ждущие-события"/>
    <w:p>
      <w:pPr>
        <w:pStyle w:val="Heading2"/>
      </w:pPr>
      <w:r>
        <w:t xml:space="preserve">Холдирование: деньги, ждущие события</w:t>
      </w:r>
    </w:p>
    <w:p>
      <w:pPr>
        <w:pStyle w:val="FirstParagraph"/>
      </w:pPr>
      <w:r>
        <w:t xml:space="preserve">Знакомый нам «холд» на карте означает, что сумма заблокирована, но ещё не списана. Слово пришло из английского</w:t>
      </w:r>
      <w:r>
        <w:t xml:space="preserve"> </w:t>
      </w:r>
      <w:r>
        <w:rPr>
          <w:iCs/>
          <w:i/>
        </w:rPr>
        <w:t xml:space="preserve">hold</w:t>
      </w:r>
      <w:r>
        <w:t xml:space="preserve"> </w:t>
      </w:r>
      <w:r>
        <w:t xml:space="preserve">— «держать». В цифровом тенге холдирование строже: деньги блокируются на счёте плательщика и не уходят получателю, пока не наступит событие, подтверждённое внешним источником. Так работали займы «Ауыл аманаты»: деньги лежали заблокированными, пока в государственной системе идентификации животных не появлялась запись о переходе скота к заёмщику. По итогам сценария выдано 12 займов на 287 голов [Ф-008].</w:t>
      </w:r>
    </w:p>
    <w:bookmarkEnd w:id="40"/>
    <w:bookmarkStart w:id="41" w:name="Xac112bff09e3e83073ab9c8147aab340fa2ba82"/>
    <w:p>
      <w:pPr>
        <w:pStyle w:val="Heading2"/>
      </w:pPr>
      <w:r>
        <w:t xml:space="preserve">Цифровой НДС: налог, который не потеряешься</w:t>
      </w:r>
    </w:p>
    <w:p>
      <w:pPr>
        <w:pStyle w:val="FirstParagraph"/>
      </w:pPr>
      <w:r>
        <w:t xml:space="preserve">Самый наглядный пример — налог на добавленную стоимость. Обычно поставщик получает деньги с НДС, потом сам платит налог государству; цепочка проверяется постфактум. В цифровом сценарии часть платежа, равная налогу, сразу получает «налоговую» метку. Эти токены нельзя потратить на что-то иное: они либо идут следующему поставщику по цепочке в счёт зачёта, либо поступают в бюджет. Токены НДС не имеют срока действия и становятся обычными только после перечисления налога органам государственных доходов [Ф-010]. С 2 февраля 2026 года идёт пилот такого сценария в госзакупках, участие добровольное [Ф-086].</w:t>
      </w:r>
    </w:p>
    <w:p>
      <w:pPr>
        <w:pStyle w:val="BodyText"/>
      </w:pPr>
      <w:r>
        <w:rPr>
          <w:iCs/>
          <w:i/>
        </w:rPr>
        <w:t xml:space="preserve">Условный пример при ставке 12% (ставка произвольная): закупка у поставщика на 1 000, продажа покупателю на 1 500.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8EA0C0"/>
          <w:left w:val="single" w:sz="4" w:space="0" w:color="8EA0C0"/>
          <w:bottom w:val="single" w:sz="4" w:space="0" w:color="8EA0C0"/>
          <w:right w:val="single" w:sz="4" w:space="0" w:color="8EA0C0"/>
          <w:insideH w:val="single" w:sz="4" w:space="0" w:color="8EA0C0"/>
          <w:insideV w:val="single" w:sz="4" w:space="0" w:color="8EA0C0"/>
        </w:tblBorders>
        <w:tblCellMar>
          <w:top w:w="50" w:type="dxa"/>
          <w:left w:w="90" w:type="dxa"/>
          <w:bottom w:w="50" w:type="dxa"/>
          <w:right w:w="90" w:type="dxa"/>
        </w:tblCellMar>
        <w:tblW w:w="9412" w:type="dxa"/>
        <w:tblLayout w:type="fixed"/>
      </w:tblPr>
      <w:tblGrid>
        <w:gridCol w:w="4477"/>
        <w:gridCol w:w="2756"/>
        <w:gridCol w:w="2179"/>
      </w:tblGrid>
      <w:tr>
        <w:trPr>
          <w:tblHeader w:val="true"/>
          <w:cantSplit/>
          <w:tblHeader/>
        </w:trPr>
        <w:tc>
          <w:tcPr>
            <w:tcW w:type="dxa" w:w="4477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Шаг</w:t>
            </w:r>
          </w:p>
        </w:tc>
        <w:tc>
          <w:tcPr>
            <w:tcW w:type="dxa" w:w="2756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Обычные токены</w:t>
            </w:r>
          </w:p>
        </w:tc>
        <w:tc>
          <w:tcPr>
            <w:tcW w:type="dxa" w:w="2179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Токены НДС</w:t>
            </w:r>
          </w:p>
        </w:tc>
      </w:tr>
      <w:tr>
        <w:trPr>
          <w:cantSplit/>
        </w:trPr>
        <w:tc>
          <w:tcPr>
            <w:tcW w:type="dxa" w:w="4477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Покупатель платит вам</w:t>
            </w:r>
          </w:p>
        </w:tc>
        <w:tc>
          <w:tcPr>
            <w:tcW w:type="dxa" w:w="2756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1 500</w:t>
            </w:r>
          </w:p>
        </w:tc>
        <w:tc>
          <w:tcPr>
            <w:tcW w:type="dxa" w:w="2179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180</w:t>
            </w:r>
          </w:p>
        </w:tc>
      </w:tr>
      <w:tr>
        <w:trPr>
          <w:cantSplit/>
        </w:trPr>
        <w:tc>
          <w:tcPr>
            <w:tcW w:type="dxa" w:w="4477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Вы платите своему поставщику</w:t>
            </w:r>
          </w:p>
        </w:tc>
        <w:tc>
          <w:tcPr>
            <w:tcW w:type="dxa" w:w="2756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1 000</w:t>
            </w:r>
          </w:p>
        </w:tc>
        <w:tc>
          <w:tcPr>
            <w:tcW w:type="dxa" w:w="2179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120</w:t>
            </w:r>
          </w:p>
        </w:tc>
      </w:tr>
      <w:tr>
        <w:trPr>
          <w:cantSplit/>
        </w:trPr>
        <w:tc>
          <w:tcPr>
            <w:tcW w:type="dxa" w:w="447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Вы отправляете в бюджет</w:t>
            </w:r>
          </w:p>
        </w:tc>
        <w:tc>
          <w:tcPr>
            <w:tcW w:type="dxa" w:w="27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—</w:t>
            </w:r>
          </w:p>
        </w:tc>
        <w:tc>
          <w:tcPr>
            <w:tcW w:type="dxa" w:w="21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60</w:t>
            </w:r>
          </w:p>
        </w:tc>
      </w:tr>
    </w:tbl>
    <w:p>
      <w:pPr>
        <w:pStyle w:val="BodyText"/>
      </w:pPr>
      <w:r>
        <w:t xml:space="preserve">Налоговые токены нельзя потратить на другое: они либо идут следующему звену в зачёт, либо в бюджет [Ф-010]</w:t>
      </w:r>
    </w:p>
    <w:bookmarkEnd w:id="41"/>
    <w:bookmarkStart w:id="42" w:name="главный-подвох"/>
    <w:p>
      <w:pPr>
        <w:pStyle w:val="Heading2"/>
      </w:pPr>
      <w:r>
        <w:t xml:space="preserve">Главный подвох</w:t>
      </w:r>
    </w:p>
    <w:p>
      <w:pPr>
        <w:pStyle w:val="FirstParagraph"/>
      </w:pPr>
      <w:r>
        <w:t xml:space="preserve">Всё это работает, пока у платформы есть правдивые данные о внешнем мире. Если счёт-фактура зарегистрирован ошибочно, оракул передаст ошибку в смарт-контракт, и платёж пройдёт «правильно» на основании неверных данных. Смарт-контракт — вообще название обманчивое: это не договор в юридическом смысле, а программа-исполнитель. Юридическую силу ему придают закон и договор; код лишь автоматизирует исполнение.</w:t>
      </w:r>
    </w:p>
    <w:p>
      <w:pPr>
        <w:pStyle w:val="BodyText"/>
      </w:pPr>
      <w:r>
        <w:t xml:space="preserve">Итоговый доклад оператора по этому поводу формулирует жёстко: без надёжных источников данных любой технологический контроль становится формальностью [Ф-013]. Эту мысль стоит держать в голове при чтении следующей главы: пилоты проверяли не столько технику, сколько способность государства поставлять правдивые данные.</w:t>
      </w:r>
    </w:p>
    <w:bookmarkEnd w:id="42"/>
    <w:bookmarkEnd w:id="43"/>
    <w:bookmarkStart w:id="55" w:name="pilots"/>
    <w:p>
      <w:pPr>
        <w:pStyle w:val="Heading1"/>
        <w:pageBreakBefore/>
      </w:pPr>
      <w:r>
        <w:t xml:space="preserve">Что показали пилоты</w:t>
      </w:r>
    </w:p>
    <w:p>
      <w:pPr>
        <w:pStyle w:val="FirstParagraph"/>
      </w:pPr>
      <w:r>
        <w:t xml:space="preserve">Любую новую технологию лучше всего проверять не на презентациях, а на людях. У проекта было три таких проверки, и каждая отвечала на свой вопрос.</w:t>
      </w:r>
    </w:p>
    <w:bookmarkStart w:id="44" w:name="работает-ли-вообще"/>
    <w:p>
      <w:pPr>
        <w:pStyle w:val="Heading2"/>
      </w:pPr>
      <w:r>
        <w:t xml:space="preserve">2022: работает ли вообще</w:t>
      </w:r>
    </w:p>
    <w:p>
      <w:pPr>
        <w:pStyle w:val="FirstParagraph"/>
      </w:pPr>
      <w:r>
        <w:t xml:space="preserve">В октябре 2022 года платформу впервые испытали на реальных потребителях и торгово-сервисных предприятиях: в закрытом контуре участвовали 200 человек и четыре предприятия [Ф-043]. Проверяли весь жизненный цикл денег: выпуск, перевод, оплату, погашение. Это был ответ на вопрос «заработает ли».</w:t>
      </w:r>
    </w:p>
    <w:bookmarkEnd w:id="44"/>
    <w:bookmarkStart w:id="45" w:name="нужно-ли-это-людям"/>
    <w:p>
      <w:pPr>
        <w:pStyle w:val="Heading2"/>
      </w:pPr>
      <w:r>
        <w:t xml:space="preserve">2023: нужно ли это людям</w:t>
      </w:r>
    </w:p>
    <w:p>
      <w:pPr>
        <w:pStyle w:val="FirstParagraph"/>
      </w:pPr>
      <w:r>
        <w:t xml:space="preserve">В ноябре 2023 года началась опытно-промышленная эксплуатация с двумя сценариями. В первом, «цифровые ваучеры», школьники одной из школ Алматы получали бесплатное питание через цифровой тенге: проведено 7 492 транзакции, все успешно [Ф-034] [Ф-080]. Во втором четыре банка выпустили карты, привязанные к цифровому счёту: 1 714 операций при среднем чеке 3 779 цифровых тенге [Ф-035].</w:t>
      </w:r>
    </w:p>
    <w:p>
      <w:pPr>
        <w:pStyle w:val="BodyText"/>
      </w:pPr>
      <w:r>
        <w:t xml:space="preserve">Участников спросили, что получилось. Оплата картой в магазине прошла успешно у всех, онлайн-покупки удались в 87% случаев, снять деньги в банкомате — в 82%: сбои были там, где банкомат принадлежал другому банку. 98% участников готовы продолжать [Ф-036]. А самой привлекательной дополнительной возможностью назвали оплату без интернета: 83%; за ней шли трансграничные платежи (67%), программируемые платежи (53%) и смарт-контракты (50%) [Ф-037].</w:t>
      </w:r>
    </w:p>
    <w:p>
      <w:pPr>
        <w:pStyle w:val="BodyText"/>
      </w:pPr>
      <w:r>
        <w:t xml:space="preserve">Уточним: опрашивали тех, кого отобрал сам оператор, поэтому результат говорит о ценности функции для испытателей, но не о массовом спросе.</w:t>
      </w:r>
    </w:p>
    <w:bookmarkEnd w:id="45"/>
    <w:bookmarkStart w:id="46" w:name="нужно-ли-это-государству"/>
    <w:p>
      <w:pPr>
        <w:pStyle w:val="Heading2"/>
      </w:pPr>
      <w:r>
        <w:t xml:space="preserve">2024–2025: нужно ли это государству</w:t>
      </w:r>
    </w:p>
    <w:p>
      <w:pPr>
        <w:pStyle w:val="FirstParagraph"/>
      </w:pPr>
      <w:r>
        <w:t xml:space="preserve">Дальше фокус сместился. К концу 2025 года сценариев стало восемь: финансирование строительства из Национального фонда, инвестиционные субсидии, микрокредиты на скот, ремонт дорог, цифровой НДС, финансирование футбольных клубов, закупки самого Нацбанка и кредитование по программам фонда «Даму» [Ф-007]. Самый заметный из них — финансирование проектов Национального фонда: вторые железнодорожные пути «Достык — Мойынты» и газопровод «Талдыкорган — Ушарал» длиной 302,4 км, который должен дать газ 66 населённым пунктам [Ф-097].</w:t>
      </w:r>
    </w:p>
    <w:p>
      <w:pPr>
        <w:pStyle w:val="BodyText"/>
      </w:pPr>
      <w:r>
        <w:t xml:space="preserve">В июле 2025 года на совещании у Премьер-министра было поручено перевести в цифровой формат не менее 100 крупных проектов; в числе названных результатов фигурировало сокращение срока возврата НДС с 75 до 5 рабочих дней [Ф-096]. Это заявление участников совещания, а не измеренный независимо результат, и мы приводим его именно с такой оговоркой.</w:t>
      </w:r>
    </w:p>
    <w:bookmarkEnd w:id="46"/>
    <w:bookmarkStart w:id="53" w:name="сколько-это-на-самом-деле"/>
    <w:p>
      <w:pPr>
        <w:pStyle w:val="Heading2"/>
      </w:pPr>
      <w:r>
        <w:t xml:space="preserve">Сколько это на самом деле</w:t>
      </w:r>
    </w:p>
    <w:p>
      <w:pPr>
        <w:pStyle w:val="FirstParagraph"/>
      </w:pPr>
      <w:r>
        <w:t xml:space="preserve">Теперь о масштабе. Вот три точки на шкале выпуска цифровых тенге: 257,5 млрд тенге на июль 2025 года [Ф-096], 336,6 млрд на конец 2025 года [Ф-102], порядка 340 млрд в июне 2026 года [Ф-088]. Минфин назвал в конце июля ту же цифру — 340 млрд [Ф-089].</w:t>
      </w:r>
    </w:p>
    <w:p>
      <w:pPr>
        <w:pStyle w:val="CaptionedFigure"/>
      </w:pPr>
      <w:r>
        <w:drawing>
          <wp:inline>
            <wp:extent cx="5969000" cy="3107713"/>
            <wp:effectExtent b="0" l="0" r="0" t="0"/>
            <wp:docPr descr="Накопленный выпуск цифровых тенге: заявленные точки" title="" id="48" name="Picture"/>
            <a:graphic>
              <a:graphicData uri="http://schemas.openxmlformats.org/drawingml/2006/picture">
                <pic:pic>
                  <pic:nvPicPr>
                    <pic:cNvPr descr="figures/issuanc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107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Накопленный выпуск цифровых тенге: заявленные точки</w:t>
      </w:r>
    </w:p>
    <w:p>
      <w:pPr>
        <w:pStyle w:val="BodyText"/>
      </w:pPr>
      <w:r>
        <w:t xml:space="preserve">Можно прикинуть темп. С июля по декабрь 2025 года выпуск вырос примерно на 79 млрд, то есть около 14 млрд в месяц. А в первой половине 2026 года, в пределах точности заявлений, рост почти остановился: проект ждал закона и правил. Это расчёт редакции по двум заявленным точкам, а не данные оператора.</w:t>
      </w:r>
    </w:p>
    <w:p>
      <w:pPr>
        <w:pStyle w:val="BodyText"/>
      </w:pPr>
      <w:r>
        <w:t xml:space="preserve">Чтобы почувствовать масштаб, сравним с обычными безналичными платежами. По итогам 2024 года в РК доля безналичных операций составила около 87%, прошло 12,8 млрд операций на 166,1 трлн тенге [Ф-003]. Выпущенные цифровые тенге — это около 0,2% от годового безналичного оборота: оценка редакции, потому что сравниваем накопленный выпуск за два с лишним года с оборотом за один 2024 год. Как ориентир порядка величин — достаточно.</w:t>
      </w:r>
    </w:p>
    <w:p>
      <w:pPr>
        <w:pStyle w:val="CaptionedFigure"/>
      </w:pPr>
      <w:r>
        <w:drawing>
          <wp:inline>
            <wp:extent cx="5969000" cy="1982254"/>
            <wp:effectExtent b="0" l="0" r="0" t="0"/>
            <wp:docPr descr="Масштаб: выпуск и безналичный оборот" title="" id="51" name="Picture"/>
            <a:graphic>
              <a:graphicData uri="http://schemas.openxmlformats.org/drawingml/2006/picture">
                <pic:pic>
                  <pic:nvPicPr>
                    <pic:cNvPr descr="figures/scal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982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Масштаб: выпуск и безналичный оборот</w:t>
      </w:r>
    </w:p>
    <w:p>
      <w:pPr>
        <w:pStyle w:val="BodyText"/>
      </w:pPr>
      <w:r>
        <w:t xml:space="preserve">И ещё одна честная оговорка. В публикациях оператора встречаются разные оценки числа проведённых операций: на сайте НПК сказано «свыше тысячи транзакций» по пилотным сценариям, а в итоговом докладе приводится иная, существенно большая цифра за всё время работы платформы. Мы не знаем, как именно считали, и поэтому ни одну из них в расчёты не берём.</w:t>
      </w:r>
    </w:p>
    <w:bookmarkEnd w:id="53"/>
    <w:bookmarkStart w:id="54" w:name="чему-научили-пилоты"/>
    <w:p>
      <w:pPr>
        <w:pStyle w:val="Heading2"/>
      </w:pPr>
      <w:r>
        <w:t xml:space="preserve">Чему научили пилоты</w:t>
      </w:r>
    </w:p>
    <w:p>
      <w:pPr>
        <w:pStyle w:val="FirstParagraph"/>
      </w:pPr>
      <w:r>
        <w:t xml:space="preserve">Итоговый доклад оператора формулирует выводы в семи пунктах [Ф-013]. Пересказывая их проще:</w:t>
      </w:r>
    </w:p>
    <w:p>
      <w:pPr>
        <w:numPr>
          <w:ilvl w:val="0"/>
          <w:numId w:val="1004"/>
        </w:numPr>
        <w:pStyle w:val="Compact"/>
      </w:pPr>
      <w:r>
        <w:t xml:space="preserve">Цифровой тенге не волшебная палочка. Он не устраняет причины нецелевых расходов, а помогает там, где процессы уже прозрачны.</w:t>
      </w:r>
    </w:p>
    <w:p>
      <w:pPr>
        <w:numPr>
          <w:ilvl w:val="0"/>
          <w:numId w:val="1004"/>
        </w:numPr>
        <w:pStyle w:val="Compact"/>
      </w:pPr>
      <w:r>
        <w:t xml:space="preserve">Программируемость стоит ровно столько, сколько стоят данные, на которые она опирается.</w:t>
      </w:r>
    </w:p>
    <w:p>
      <w:pPr>
        <w:numPr>
          <w:ilvl w:val="0"/>
          <w:numId w:val="1004"/>
        </w:numPr>
        <w:pStyle w:val="Compact"/>
      </w:pPr>
      <w:r>
        <w:t xml:space="preserve">Сначала правила, потом технология: порядок нарушать нельзя.</w:t>
      </w:r>
    </w:p>
    <w:p>
      <w:pPr>
        <w:numPr>
          <w:ilvl w:val="0"/>
          <w:numId w:val="1004"/>
        </w:numPr>
        <w:pStyle w:val="Compact"/>
      </w:pPr>
      <w:r>
        <w:t xml:space="preserve">Эффект даёт контроль в реальном времени, а не отчёт постфактум.</w:t>
      </w:r>
    </w:p>
    <w:p>
      <w:pPr>
        <w:numPr>
          <w:ilvl w:val="0"/>
          <w:numId w:val="1004"/>
        </w:numPr>
        <w:pStyle w:val="Compact"/>
      </w:pPr>
      <w:r>
        <w:t xml:space="preserve">Банкам и бизнесу нужны стимулы: рынок примет только то, что выгодно ему.</w:t>
      </w:r>
    </w:p>
    <w:p>
      <w:pPr>
        <w:numPr>
          <w:ilvl w:val="0"/>
          <w:numId w:val="1004"/>
        </w:numPr>
        <w:pStyle w:val="Compact"/>
      </w:pPr>
      <w:r>
        <w:t xml:space="preserve">Малые пилоты дешевле крупных ошибок.</w:t>
      </w:r>
    </w:p>
    <w:p>
      <w:pPr>
        <w:numPr>
          <w:ilvl w:val="0"/>
          <w:numId w:val="1004"/>
        </w:numPr>
        <w:pStyle w:val="Compact"/>
      </w:pPr>
      <w:r>
        <w:t xml:space="preserve">Вовлекать ведомства и определять правовой статус нужно с самого начала.</w:t>
      </w:r>
    </w:p>
    <w:p>
      <w:pPr>
        <w:pStyle w:val="FirstParagraph"/>
      </w:pPr>
      <w:r>
        <w:t xml:space="preserve">Заметим, как мало здесь «технологии» и как много «данных, правил и людей». Это и есть главный итог: цифровой тенге оказался проектом не столько о деньгах, сколько об устройстве государственного учёта.</w:t>
      </w:r>
    </w:p>
    <w:bookmarkEnd w:id="54"/>
    <w:bookmarkEnd w:id="55"/>
    <w:bookmarkStart w:id="60" w:name="law"/>
    <w:p>
      <w:pPr>
        <w:pStyle w:val="Heading1"/>
        <w:pageBreakBefore/>
      </w:pPr>
      <w:r>
        <w:t xml:space="preserve">Закон и правила: что можно и нельзя</w:t>
      </w:r>
    </w:p>
    <w:p>
      <w:pPr>
        <w:pStyle w:val="FirstParagraph"/>
      </w:pPr>
      <w:r>
        <w:t xml:space="preserve">Закон — скучная часть истории, но именно он решает, кто и чем рискует. Поэтому разберём его по порядку.</w:t>
      </w:r>
    </w:p>
    <w:bookmarkStart w:id="56" w:name="лестница-норм"/>
    <w:p>
      <w:pPr>
        <w:pStyle w:val="Heading2"/>
      </w:pPr>
      <w:r>
        <w:t xml:space="preserve">Лестница норм</w:t>
      </w:r>
    </w:p>
    <w:p>
      <w:pPr>
        <w:pStyle w:val="FirstParagraph"/>
      </w:pPr>
      <w:r>
        <w:t xml:space="preserve">На вершине — закон. 16 января 2026 года подписаны законы, закрепившие цифровой тенге, и среди них закон № 259-VIII, дополнивший Закон «О платежах и платёжных системах» главой «Цифровой тенге» [Ф-018] [Ф-019]. Нормы о цифровом тенге вступили в силу 18 июля 2026 года, то есть через шесть месяцев после опубликования. Ниже закона — правила Национального Банка: постановление № 42, зарегистрированное в Минюсте 30 апреля 2026 года, действует с 19 июля [Ф-054] [Ф-084]. Ещё ниже — акты о бюджете: приказ Минфина от 8 июня 2026 года о пилоте применения цифрового тенге при исполнении бюджета [Ф-085] и постановление Правительства от 23 октября 2026 года с перечнем расходов, вступившее в силу 30 октября [Ф-087].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8EA0C0"/>
          <w:left w:val="single" w:sz="4" w:space="0" w:color="8EA0C0"/>
          <w:bottom w:val="single" w:sz="4" w:space="0" w:color="8EA0C0"/>
          <w:right w:val="single" w:sz="4" w:space="0" w:color="8EA0C0"/>
          <w:insideH w:val="single" w:sz="4" w:space="0" w:color="8EA0C0"/>
          <w:insideV w:val="single" w:sz="4" w:space="0" w:color="8EA0C0"/>
        </w:tblBorders>
        <w:tblCellMar>
          <w:top w:w="50" w:type="dxa"/>
          <w:left w:w="90" w:type="dxa"/>
          <w:bottom w:w="50" w:type="dxa"/>
          <w:right w:w="90" w:type="dxa"/>
        </w:tblCellMar>
        <w:tblW w:w="9412" w:type="dxa"/>
        <w:tblLayout w:type="fixed"/>
      </w:tblPr>
      <w:tblGrid>
        <w:gridCol w:w="3773"/>
        <w:gridCol w:w="5639"/>
      </w:tblGrid>
      <w:tr>
        <w:trPr>
          <w:tblHeader w:val="true"/>
          <w:cantSplit/>
          <w:tblHeader/>
        </w:trPr>
        <w:tc>
          <w:tcPr>
            <w:tcW w:type="dxa" w:w="3773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Ступень</w:t>
            </w:r>
          </w:p>
        </w:tc>
        <w:tc>
          <w:tcPr>
            <w:tcW w:type="dxa" w:w="5639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Суть</w:t>
            </w:r>
          </w:p>
        </w:tc>
      </w:tr>
      <w:tr>
        <w:trPr>
          <w:cantSplit/>
        </w:trPr>
        <w:tc>
          <w:tcPr>
            <w:tcW w:type="dxa" w:w="377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Закон № 259-VIII (16.01.2026)</w:t>
            </w:r>
          </w:p>
        </w:tc>
        <w:tc>
          <w:tcPr>
            <w:tcW w:type="dxa" w:w="5639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Определил цифровой тенге; нормы в силе с 18.07.2026 [Ф-019] [Ф-020]</w:t>
            </w:r>
          </w:p>
        </w:tc>
      </w:tr>
      <w:tr>
        <w:trPr>
          <w:cantSplit/>
        </w:trPr>
        <w:tc>
          <w:tcPr>
            <w:tcW w:type="dxa" w:w="377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Правила Нацбанка № 42</w:t>
            </w:r>
          </w:p>
        </w:tc>
        <w:tc>
          <w:tcPr>
            <w:tcW w:type="dxa" w:w="5639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Выпуск, обращение, погашение; в силе с 19.07.2026 [Ф-054] [Ф-084]</w:t>
            </w:r>
          </w:p>
        </w:tc>
      </w:tr>
      <w:tr>
        <w:trPr>
          <w:cantSplit/>
        </w:trPr>
        <w:tc>
          <w:tcPr>
            <w:tcW w:type="dxa" w:w="377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Приказ Минфина № 375 (08.06.2026)</w:t>
            </w:r>
          </w:p>
        </w:tc>
        <w:tc>
          <w:tcPr>
            <w:tcW w:type="dxa" w:w="5639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Пилот в бюджетном процессе: платежи свыше 100 млн тенге [Ф-085]</w:t>
            </w:r>
          </w:p>
        </w:tc>
      </w:tr>
      <w:tr>
        <w:trPr>
          <w:cantSplit/>
        </w:trPr>
        <w:tc>
          <w:tcPr>
            <w:tcW w:type="dxa" w:w="377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Постановление Правительства (23.10.2026)</w:t>
            </w:r>
          </w:p>
        </w:tc>
        <w:tc>
          <w:tcPr>
            <w:tcW w:type="dxa" w:w="5639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Перечень расходов бюджета в цифровом тенге; в силе с 30.10.2026 [Ф-087]</w:t>
            </w:r>
          </w:p>
        </w:tc>
      </w:tr>
      <w:tr>
        <w:trPr>
          <w:cantSplit/>
        </w:trPr>
        <w:tc>
          <w:tcPr>
            <w:tcW w:type="dxa" w:w="377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Тарифы НПК (с 06.09.2026)</w:t>
            </w:r>
          </w:p>
        </w:tc>
        <w:tc>
          <w:tcPr>
            <w:tcW w:type="dxa" w:w="563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135 тенге за документ, минимум 20 000 тенге в месяц [Ф-078]</w:t>
            </w:r>
          </w:p>
        </w:tc>
      </w:tr>
    </w:tbl>
    <w:bookmarkEnd w:id="56"/>
    <w:bookmarkStart w:id="57" w:name="что-закон-говорит-о-самих-деньгах"/>
    <w:p>
      <w:pPr>
        <w:pStyle w:val="Heading2"/>
      </w:pPr>
      <w:r>
        <w:t xml:space="preserve">Что закон говорит о самих деньгах</w:t>
      </w:r>
    </w:p>
    <w:p>
      <w:pPr>
        <w:pStyle w:val="FirstParagraph"/>
      </w:pPr>
      <w:r>
        <w:t xml:space="preserve">Определение и исключительность выпуска мы уже видели [Ф-020]. Добавим подробности. Выпуск идёт в обмен на деньги владельца цифрового счёта, а погашение — переводом равной суммы на его банковский счёт. Из этого следует практическое правило: обменять цифровой тенге на наличные напрямую нельзя, сначала деньги возвращаются на банковский счёт. Участниками платформы могут быть банки, депозитарий, Казначейство и другие организации, которых определит Нацбанк [Ф-021]. Банки, у которых есть мобильные приложения, обязаны подключиться к инфраструктуре [Ф-022].</w:t>
      </w:r>
    </w:p>
    <w:bookmarkEnd w:id="57"/>
    <w:bookmarkStart w:id="58" w:name="вопросы-которые-задают-чаще-всего"/>
    <w:p>
      <w:pPr>
        <w:pStyle w:val="Heading2"/>
      </w:pPr>
      <w:r>
        <w:t xml:space="preserve">Вопросы, которые задают чаще всего</w:t>
      </w:r>
    </w:p>
    <w:p>
      <w:pPr>
        <w:pStyle w:val="FirstParagraph"/>
      </w:pPr>
      <w:r>
        <w:rPr>
          <w:bCs/>
          <w:b/>
        </w:rPr>
        <w:t xml:space="preserve">Обязан ли я пользоваться цифровым тенге?</w:t>
      </w:r>
      <w:r>
        <w:t xml:space="preserve"> </w:t>
      </w:r>
      <w:r>
        <w:t xml:space="preserve">Нет. Для граждан закон такой обязанности не устанавливает. Обязательность введена только для части государственных расходов: платит государство, а подрядчик, получающий бюджетные деньги, форму расчётов выбрать не вправе. [Ф-103] [Ф-085]</w:t>
      </w:r>
    </w:p>
    <w:p>
      <w:pPr>
        <w:pStyle w:val="BodyText"/>
      </w:pPr>
      <w:r>
        <w:rPr>
          <w:bCs/>
          <w:b/>
        </w:rPr>
        <w:t xml:space="preserve">Можно ли обменять цифровой тенге на наличные?</w:t>
      </w:r>
      <w:r>
        <w:t xml:space="preserve"> </w:t>
      </w:r>
      <w:r>
        <w:t xml:space="preserve">Напрямую нет. Погашение идёт переводом равной суммы на банковский счёт владельца, а наличные можно получить уже с банковского счёта в обычном порядке. [Ф-020]</w:t>
      </w:r>
    </w:p>
    <w:p>
      <w:pPr>
        <w:pStyle w:val="BodyText"/>
      </w:pPr>
      <w:r>
        <w:rPr>
          <w:bCs/>
          <w:b/>
        </w:rPr>
        <w:t xml:space="preserve">Сколько стоит открыть счёт и погасить деньги?</w:t>
      </w:r>
      <w:r>
        <w:t xml:space="preserve"> </w:t>
      </w:r>
      <w:r>
        <w:t xml:space="preserve">Открытие цифрового счёта и погашение цифровых тенге бесплатны. Банки вправе брать комиссию за обслуживание операций, предельные размеры которой устанавливают правила Нацбанка; сами эти пределы мы в открытых материалах не нашли. [Ф-024]</w:t>
      </w:r>
    </w:p>
    <w:p>
      <w:pPr>
        <w:pStyle w:val="BodyText"/>
      </w:pPr>
      <w:r>
        <w:rPr>
          <w:bCs/>
          <w:b/>
        </w:rPr>
        <w:t xml:space="preserve">Начисляются ли проценты на остаток?</w:t>
      </w:r>
      <w:r>
        <w:t xml:space="preserve"> </w:t>
      </w:r>
      <w:r>
        <w:t xml:space="preserve">Нет, сберегательный режим правилами не предусмотрен. Нацбанк объяснял это риском «цифрового бегства». [Ф-084] [Ф-109]</w:t>
      </w:r>
    </w:p>
    <w:p>
      <w:pPr>
        <w:pStyle w:val="BodyText"/>
      </w:pPr>
      <w:r>
        <w:rPr>
          <w:bCs/>
          <w:b/>
        </w:rPr>
        <w:t xml:space="preserve">Сколько цифровых счетов можно иметь?</w:t>
      </w:r>
      <w:r>
        <w:t xml:space="preserve"> </w:t>
      </w:r>
      <w:r>
        <w:t xml:space="preserve">У одного пользователя может быть не более одного цифрового счёта. [Ф-084]</w:t>
      </w:r>
    </w:p>
    <w:p>
      <w:pPr>
        <w:pStyle w:val="BodyText"/>
      </w:pPr>
      <w:r>
        <w:rPr>
          <w:bCs/>
          <w:b/>
        </w:rPr>
        <w:t xml:space="preserve">Можно ли хранить деньги без интернета?</w:t>
      </w:r>
      <w:r>
        <w:t xml:space="preserve"> </w:t>
      </w:r>
      <w:r>
        <w:t xml:space="preserve">Правила позволяют хранить цифровые тенге на внешних электронных носителях. Как это работает на практике для обычного человека, в открытых материалах не раскрыто. [Ф-084]</w:t>
      </w:r>
    </w:p>
    <w:p>
      <w:pPr>
        <w:pStyle w:val="BodyText"/>
      </w:pPr>
      <w:r>
        <w:rPr>
          <w:bCs/>
          <w:b/>
        </w:rPr>
        <w:t xml:space="preserve">Что будет, если мой банк лишится лицензии?</w:t>
      </w:r>
      <w:r>
        <w:t xml:space="preserve"> </w:t>
      </w:r>
      <w:r>
        <w:t xml:space="preserve">Операции по счёту приостанавливаются; участник, прекращающий деятельность, уведомляет владельцев за 30 календарных дней, а владелец в течение 10 рабочих дней подаёт заявление другому участнику, после чего ключи переносятся. Подробности работы этого механизма на практике пока не проверены. [Ф-084]</w:t>
      </w:r>
    </w:p>
    <w:p>
      <w:pPr>
        <w:pStyle w:val="BodyText"/>
      </w:pPr>
      <w:r>
        <w:rPr>
          <w:bCs/>
          <w:b/>
        </w:rPr>
        <w:t xml:space="preserve">Могут ли мошенники использовать цифровой тенге?</w:t>
      </w:r>
      <w:r>
        <w:t xml:space="preserve"> </w:t>
      </w:r>
      <w:r>
        <w:t xml:space="preserve">Уже пытаются: в марте 2026 года Нацбанк предупредил о фишинговой рекламе «государственного инвестиционного проекта». Цифровой тенге не инвестиционный инструмент и не предназначен для получения прибыли. [Ф-098]</w:t>
      </w:r>
    </w:p>
    <w:p>
      <w:pPr>
        <w:pStyle w:val="BodyText"/>
      </w:pPr>
      <w:r>
        <w:rPr>
          <w:bCs/>
          <w:b/>
        </w:rPr>
        <w:t xml:space="preserve">Кто может быть участником платформы?</w:t>
      </w:r>
      <w:r>
        <w:t xml:space="preserve"> </w:t>
      </w:r>
      <w:r>
        <w:t xml:space="preserve">Банки, организации с отдельными банковскими операциями, центральный депозитарий, Казначейство и другие организации, которых определит Нацбанк. На 27 октября 2026 года сайт оператора называет девять банков-участников. [Ф-021] [Ф-081]</w:t>
      </w:r>
    </w:p>
    <w:bookmarkEnd w:id="58"/>
    <w:bookmarkStart w:id="59" w:name="где-обязательность"/>
    <w:p>
      <w:pPr>
        <w:pStyle w:val="Heading2"/>
      </w:pPr>
      <w:r>
        <w:t xml:space="preserve">Где обязательность</w:t>
      </w:r>
    </w:p>
    <w:p>
      <w:pPr>
        <w:pStyle w:val="FirstParagraph"/>
      </w:pPr>
      <w:r>
        <w:t xml:space="preserve">Единственное место, где цифровой тенге перестал быть выбором, — бюджетные платежи. Минфин ввёл пилот: если платёж превышает 100 млн тенге и относится к перечню статей (лекарства, топливо, дороги, строительство, часть бюджетных кредитов, гранты на науку), он проходит в цифровом тенге, а каждому платежу присваивается сквозной идентификатор [Ф-085]. Постановление Правительства, вступившее в силу в конце октября, расширило перечень [Ф-087].</w:t>
      </w:r>
    </w:p>
    <w:p>
      <w:pPr>
        <w:pStyle w:val="BodyText"/>
      </w:pPr>
      <w:r>
        <w:t xml:space="preserve">Важная деталь: обязанность касается плательщика, то есть государства, но на практике затрагивает и получателей. Подрядчик, который хочет получать бюджетные деньги, не сможет отказаться от этой формы расчётов. Для гражданина выбор остаётся свободным [Ф-103], а для поставщика государства он превращается в условие допуска к заказу.</w:t>
      </w:r>
    </w:p>
    <w:p>
      <w:pPr>
        <w:pStyle w:val="BodyText"/>
      </w:pPr>
      <w:r>
        <w:t xml:space="preserve">И здесь пора поговорить о цене: сколько стоит пользоваться этой формой денег?</w:t>
      </w:r>
    </w:p>
    <w:bookmarkEnd w:id="59"/>
    <w:bookmarkEnd w:id="60"/>
    <w:bookmarkStart w:id="67" w:name="price"/>
    <w:p>
      <w:pPr>
        <w:pStyle w:val="Heading1"/>
        <w:pageBreakBefore/>
      </w:pPr>
      <w:r>
        <w:t xml:space="preserve">Цена вопроса: тарифы, проценты и спрос</w:t>
      </w:r>
    </w:p>
    <w:p>
      <w:pPr>
        <w:pStyle w:val="FirstParagraph"/>
      </w:pPr>
      <w:r>
        <w:t xml:space="preserve">Любая платёжная инфраструктура кому-то стоит денег. Цифровой тенге — не исключение, и с сентября 2026 года у него есть прейскурант.</w:t>
      </w:r>
    </w:p>
    <w:bookmarkStart w:id="64" w:name="сколько-берёт-платформа"/>
    <w:p>
      <w:pPr>
        <w:pStyle w:val="Heading2"/>
      </w:pPr>
      <w:r>
        <w:t xml:space="preserve">Сколько берёт платформа</w:t>
      </w:r>
    </w:p>
    <w:p>
      <w:pPr>
        <w:pStyle w:val="FirstParagraph"/>
      </w:pPr>
      <w:r>
        <w:t xml:space="preserve">Оператор, НПК, берёт с участников платформы плату за обработку документов. Тарифы, утверждённые решением его совета директоров, действуют с 6 сентября 2026 года и указаны без НДС. Главное: 135 тенге за обработку одного платёжного документа, причём независимо от суммы и от того, есть ли у денег маркировка; столько же стоит создание смарт-контракта. Бесплатны: выпуск и погашение, открытие и закрытие счёта, выписки, снятие маркировки и перенос ключей при смене банка. У каждого участника есть ежемесячный минимум 20 000 тенге. Государственным органам услуги предоставляются безвозмездно. До 6 сентября действовал переходный тариф — 100 тенге в месяц, а хранение пары криптографических ключей в аппаратном модуле стоит 5 000 тенге в год [Ф-078] [Ф-079].</w:t>
      </w:r>
    </w:p>
    <w:p>
      <w:pPr>
        <w:pStyle w:val="BodyText"/>
      </w:pPr>
      <w:r>
        <w:t xml:space="preserve">Что это значит на деле? Посчитаем вместе.</w:t>
      </w:r>
    </w:p>
    <w:p>
      <w:pPr>
        <w:pStyle w:val="CaptionedFigure"/>
      </w:pPr>
      <w:r>
        <w:drawing>
          <wp:inline>
            <wp:extent cx="5969000" cy="2978072"/>
            <wp:effectExtent b="0" l="0" r="0" t="0"/>
            <wp:docPr descr="Тариф 135 тенге за документ: доля от суммы платежа" title="" id="62" name="Picture"/>
            <a:graphic>
              <a:graphicData uri="http://schemas.openxmlformats.org/drawingml/2006/picture">
                <pic:pic>
                  <pic:nvPicPr>
                    <pic:cNvPr descr="figures/tariff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78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Тариф 135 тенге за документ: доля от суммы платежа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8EA0C0"/>
          <w:left w:val="single" w:sz="4" w:space="0" w:color="8EA0C0"/>
          <w:bottom w:val="single" w:sz="4" w:space="0" w:color="8EA0C0"/>
          <w:right w:val="single" w:sz="4" w:space="0" w:color="8EA0C0"/>
          <w:insideH w:val="single" w:sz="4" w:space="0" w:color="8EA0C0"/>
          <w:insideV w:val="single" w:sz="4" w:space="0" w:color="8EA0C0"/>
        </w:tblBorders>
        <w:tblCellMar>
          <w:top w:w="50" w:type="dxa"/>
          <w:left w:w="90" w:type="dxa"/>
          <w:bottom w:w="50" w:type="dxa"/>
          <w:right w:w="90" w:type="dxa"/>
        </w:tblCellMar>
        <w:tblW w:w="9412" w:type="dxa"/>
        <w:tblLayout w:type="fixed"/>
      </w:tblPr>
      <w:tblGrid>
        <w:gridCol w:w="5284"/>
        <w:gridCol w:w="4128"/>
      </w:tblGrid>
      <w:tr>
        <w:trPr>
          <w:tblHeader w:val="true"/>
          <w:cantSplit/>
          <w:tblHeader/>
        </w:trPr>
        <w:tc>
          <w:tcPr>
            <w:tcW w:type="dxa" w:w="5284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Сумма платежа</w:t>
            </w:r>
          </w:p>
        </w:tc>
        <w:tc>
          <w:tcPr>
            <w:tcW w:type="dxa" w:w="4128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Тариф за документ, % суммы</w:t>
            </w:r>
          </w:p>
        </w:tc>
      </w:tr>
      <w:tr>
        <w:trPr>
          <w:cantSplit/>
        </w:trPr>
        <w:tc>
          <w:tcPr>
            <w:tcW w:type="dxa" w:w="528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3 779 тенге (средний чек пилота 2023)</w:t>
            </w:r>
          </w:p>
        </w:tc>
        <w:tc>
          <w:tcPr>
            <w:tcW w:type="dxa" w:w="412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около 3,6%</w:t>
            </w:r>
          </w:p>
        </w:tc>
      </w:tr>
      <w:tr>
        <w:trPr>
          <w:cantSplit/>
        </w:trPr>
        <w:tc>
          <w:tcPr>
            <w:tcW w:type="dxa" w:w="528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100 000 тенге</w:t>
            </w:r>
          </w:p>
        </w:tc>
        <w:tc>
          <w:tcPr>
            <w:tcW w:type="dxa" w:w="412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0,135%</w:t>
            </w:r>
          </w:p>
        </w:tc>
      </w:tr>
      <w:tr>
        <w:trPr>
          <w:cantSplit/>
        </w:trPr>
        <w:tc>
          <w:tcPr>
            <w:tcW w:type="dxa" w:w="528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100 млн тенге (порог пилота Минфина)</w:t>
            </w:r>
          </w:p>
        </w:tc>
        <w:tc>
          <w:tcPr>
            <w:tcW w:type="dxa" w:w="412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около 0,0001%</w:t>
            </w:r>
          </w:p>
        </w:tc>
      </w:tr>
    </w:tbl>
    <w:p>
      <w:pPr>
        <w:pStyle w:val="BodyText"/>
      </w:pPr>
      <w:r>
        <w:t xml:space="preserve">Минимум 20 000 тенге в месяц соответствует примерно 148 документам [Ф-078]</w:t>
      </w:r>
    </w:p>
    <w:p>
      <w:pPr>
        <w:pStyle w:val="BodyText"/>
      </w:pPr>
      <w:r>
        <w:t xml:space="preserve">Плата фиксированная, а не процентная. Для платежа в 100 млн тенге 135 тенге — пыль: порядка 0,0001%. Для покупки на 3 779 тенге (это средний чек розничного пилота 2023 года [Ф-035]) та же плата составила бы около 3,6% суммы, то есть заметную долю чека. Оговорка: тариф платят банки и другие участники платформы, а не клиенты; перекладывать ли его на людей и в каком размере — решают банки в пределах правил Нацбанка, и эти пределы мы в открытых материалах не нашли. Но вывод напрашивается: такая тарифная конструкция выгодна крупным платежам государства и невыгодна мелким покупкам. Если банки передадут тариф клиентам, и без того слабый розничный интерес станет ещё слабее.</w:t>
      </w:r>
    </w:p>
    <w:p>
      <w:pPr>
        <w:pStyle w:val="BodyText"/>
      </w:pPr>
      <w:r>
        <w:t xml:space="preserve">Минимум в 20 000 тенге в месяц тоже имеет смысл: он соответствует примерно 148 документам по 135 тенге. Участник, который проводит меньше, всё равно платит минимум, то есть для банка, подключённого «на всякий случай», это плата за право быть в системе.</w:t>
      </w:r>
    </w:p>
    <w:bookmarkEnd w:id="64"/>
    <w:bookmarkStart w:id="65" w:name="почему-на-деньги-не-начисляют-проценты"/>
    <w:p>
      <w:pPr>
        <w:pStyle w:val="Heading2"/>
      </w:pPr>
      <w:r>
        <w:t xml:space="preserve">Почему на деньги не начисляют проценты</w:t>
      </w:r>
    </w:p>
    <w:p>
      <w:pPr>
        <w:pStyle w:val="FirstParagraph"/>
      </w:pPr>
      <w:r>
        <w:t xml:space="preserve">Это решение принято сознательно, и объяснение у него экономическое. Если бы по цифровому тенге платили проценты, люди могли бы массово перекладывать сбережения с банковских счетов в цифровую валюту центрального банка: она надёжнее, потому что это прямое обязательство Нацбанка. Банки тогда остались бы без части вкладов, а вместе с ними без ресурса для кредитов. Это явление назвали «цифровым бегством» (по аналогии с</w:t>
      </w:r>
      <w:r>
        <w:t xml:space="preserve"> </w:t>
      </w:r>
      <w:r>
        <w:rPr>
          <w:iCs/>
          <w:i/>
        </w:rPr>
        <w:t xml:space="preserve">bank run</w:t>
      </w:r>
      <w:r>
        <w:t xml:space="preserve">, «набегом на банк»). Нацбанк писал об этом ещё в 2021 году [Ф-109], а правила 2026 года подтвердили: сберегательный режим не предусмотрен [Ф-084].</w:t>
      </w:r>
    </w:p>
    <w:p>
      <w:pPr>
        <w:pStyle w:val="BodyText"/>
      </w:pPr>
      <w:r>
        <w:t xml:space="preserve">Но решение не очевидно. С 1 января 2026 года Китай, наоборот, разрешил банкам начислять проценты на остатки цифровых юаней, чтобы подтолкнуть людей к использованию [Ф-073]. Поэтому вопрос «со ставкой или без» для Казахстана не закрыт навсегда, а зависит от того, что покажет опыт других стран.</w:t>
      </w:r>
    </w:p>
    <w:bookmarkEnd w:id="65"/>
    <w:bookmarkStart w:id="66" w:name="а-нужен-ли-розничный-спрос"/>
    <w:p>
      <w:pPr>
        <w:pStyle w:val="Heading2"/>
      </w:pPr>
      <w:r>
        <w:t xml:space="preserve">А нужен ли розничный спрос</w:t>
      </w:r>
    </w:p>
    <w:p>
      <w:pPr>
        <w:pStyle w:val="FirstParagraph"/>
      </w:pPr>
      <w:r>
        <w:t xml:space="preserve">Перед запуском Нацбанк опросил около 3 000 человек по всей стране: примерно 60% сказали, что готовы использовать цифровой тенге [Ф-046]. Модель экономики, построенная на этом опросе, дала оценку долгосрочного спроса от 5,7 до 6,2% ВВП и показала, что люди не готовы заменить текущие счета цифровыми деньгами целиком (коэффициент замещения 0,609) [Ф-048] [Ф-049]. Это оценка спроса на розничный вариант при условии, что процентов нет и всё добровольно. Реальность пока другая: пользуется платформой в основном государство, а число цифровых счетов в конце 2025 года составляло лишь 265 [Ф-102]. Так что 5,7–6,2% ВВП следует читать как верхнюю границу потенциала розничного сценария, а не как прогноз.</w:t>
      </w:r>
    </w:p>
    <w:p>
      <w:pPr>
        <w:pStyle w:val="BodyText"/>
      </w:pPr>
      <w:r>
        <w:t xml:space="preserve">Попробуем теперь посмотреть, как к тому же вопросу подступились другие страны.</w:t>
      </w:r>
    </w:p>
    <w:bookmarkEnd w:id="66"/>
    <w:bookmarkEnd w:id="67"/>
    <w:bookmarkStart w:id="74" w:name="world"/>
    <w:p>
      <w:pPr>
        <w:pStyle w:val="Heading1"/>
        <w:pageBreakBefore/>
      </w:pPr>
      <w:r>
        <w:t xml:space="preserve">Как с этим справляются другие</w:t>
      </w:r>
    </w:p>
    <w:p>
      <w:pPr>
        <w:pStyle w:val="FirstParagraph"/>
      </w:pPr>
      <w:r>
        <w:t xml:space="preserve">Цифровые валюты центральных банков исследуют десятки стран, но по-настоящему массовых розничных запусков единицы. Сравним несколько подходов.</w:t>
      </w:r>
    </w:p>
    <w:bookmarkStart w:id="68" w:name="китай-масштаб-и-поворот-к-процентам"/>
    <w:p>
      <w:pPr>
        <w:pStyle w:val="Heading2"/>
      </w:pPr>
      <w:r>
        <w:t xml:space="preserve">Китай: масштаб и поворот к процентам</w:t>
      </w:r>
    </w:p>
    <w:p>
      <w:pPr>
        <w:pStyle w:val="FirstParagraph"/>
      </w:pPr>
      <w:r>
        <w:t xml:space="preserve">Цифровой юань — самая большая розничная ЦВЦБ. По данным, которые приводит итоговый доклад НПК, к концу сентября 2025 года совокупный объём составил 14,2 трлн юаней (около 2 трлн долларов), проведено 3,32 млрд транзакций, а личных кошельков в официальном приложении открыто 225 млн [Ф-014]. И всё же с 1 января 2026 года китайский регулятор меняет модель: банкам разрешено начислять проценты на остатки, и юань переходит из «цифровых наличных» в «цифровые депозитные деньги» [Ф-073]. Смысл поворота — стимулировать использование и сделать цифровой юань привлекательным не только для платежей, но и для хранения.</w:t>
      </w:r>
    </w:p>
    <w:bookmarkEnd w:id="68"/>
    <w:bookmarkStart w:id="69" w:name="россия-обязанность-вместо-выбора"/>
    <w:p>
      <w:pPr>
        <w:pStyle w:val="Heading2"/>
      </w:pPr>
      <w:r>
        <w:t xml:space="preserve">Россия: обязанность вместо выбора</w:t>
      </w:r>
    </w:p>
    <w:p>
      <w:pPr>
        <w:pStyle w:val="FirstParagraph"/>
      </w:pPr>
      <w:r>
        <w:t xml:space="preserve">В России цифровой рубль с 1 сентября 2026 года вышел в массовое обращение: операции обязаны поддерживать крупнейшие банки и торговые организации определённого размера, остальные подключаются с 2027 и 2028 годов [Ф-074]. Первые цифры: за 10 дней открыто 87 тыс. счетов, за месяц — более 220 тыс. [Ф-101]. Много это или мало, судить рано: прошёл всего месяц.</w:t>
      </w:r>
    </w:p>
    <w:bookmarkEnd w:id="69"/>
    <w:bookmarkStart w:id="70" w:name="европа-сначала-закон"/>
    <w:p>
      <w:pPr>
        <w:pStyle w:val="Heading2"/>
      </w:pPr>
      <w:r>
        <w:t xml:space="preserve">Европа: сначала закон</w:t>
      </w:r>
    </w:p>
    <w:p>
      <w:pPr>
        <w:pStyle w:val="FirstParagraph"/>
      </w:pPr>
      <w:r>
        <w:t xml:space="preserve">Евросистема выбрала другой порядок действий. Совет управляющих ЕЦБ в конце октября 2025 года решил перейти к следующему этапу; если закон будет принят в 2026 году, пилотные платежи возможны в середине 2027 года, а первый выпуск — в 2029 году. Оценка затрат — около 1,3 млрд евро до выпуска и потом около 320 млн евро в год [Ф-015]. Казахстан пошёл наоборот: сначала пилоты на действующих правилах электронных денег, потом закон.</w:t>
      </w:r>
    </w:p>
    <w:bookmarkEnd w:id="70"/>
    <w:bookmarkStart w:id="71" w:name="япония-и-нигерия-две-осторожности"/>
    <w:p>
      <w:pPr>
        <w:pStyle w:val="Heading2"/>
      </w:pPr>
      <w:r>
        <w:t xml:space="preserve">Япония и Нигерия: две осторожности</w:t>
      </w:r>
    </w:p>
    <w:p>
      <w:pPr>
        <w:pStyle w:val="FirstParagraph"/>
      </w:pPr>
      <w:r>
        <w:t xml:space="preserve">Банк Японии расширил пилот до не менее чем 60 организаций, но решения о запуске пока не принял; доля безналичных платежей в стране — около 42,8% [Ф-016]. Нигерия показала обратный пример: eNaira технически работала без сбоев, но розничных клиентов не набралось и 1% от активных банковских счетов; ограничения на снятие наличных, введённые, чтобы подтолкнуть людей к цифровым деньгам, вызвали отток наличных и низкий спрос на цифровую валюту [Ф-041].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8EA0C0"/>
          <w:left w:val="single" w:sz="4" w:space="0" w:color="8EA0C0"/>
          <w:bottom w:val="single" w:sz="4" w:space="0" w:color="8EA0C0"/>
          <w:right w:val="single" w:sz="4" w:space="0" w:color="8EA0C0"/>
          <w:insideH w:val="single" w:sz="4" w:space="0" w:color="8EA0C0"/>
          <w:insideV w:val="single" w:sz="4" w:space="0" w:color="8EA0C0"/>
        </w:tblBorders>
        <w:tblCellMar>
          <w:top w:w="50" w:type="dxa"/>
          <w:left w:w="90" w:type="dxa"/>
          <w:bottom w:w="50" w:type="dxa"/>
          <w:right w:w="90" w:type="dxa"/>
        </w:tblCellMar>
        <w:tblW w:w="9412" w:type="dxa"/>
        <w:tblLayout w:type="fixed"/>
      </w:tblPr>
      <w:tblGrid>
        <w:gridCol w:w="1528"/>
        <w:gridCol w:w="3558"/>
        <w:gridCol w:w="4326"/>
      </w:tblGrid>
      <w:tr>
        <w:trPr>
          <w:tblHeader w:val="true"/>
          <w:cantSplit/>
          <w:tblHeader/>
        </w:trPr>
        <w:tc>
          <w:tcPr>
            <w:tcW w:type="dxa" w:w="1528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Страна</w:t>
            </w:r>
          </w:p>
        </w:tc>
        <w:tc>
          <w:tcPr>
            <w:tcW w:type="dxa" w:w="3558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Суть</w:t>
            </w:r>
          </w:p>
        </w:tc>
        <w:tc>
          <w:tcPr>
            <w:tcW w:type="dxa" w:w="4326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Данные</w:t>
            </w:r>
          </w:p>
        </w:tc>
      </w:tr>
      <w:tr>
        <w:trPr>
          <w:cantSplit/>
        </w:trPr>
        <w:tc>
          <w:tcPr>
            <w:tcW w:type="dxa" w:w="152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Китай</w:t>
            </w:r>
          </w:p>
        </w:tc>
        <w:tc>
          <w:tcPr>
            <w:tcW w:type="dxa" w:w="355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Крупнейшая розничная ЦВЦБ; с 2026 года разрешены проценты на остатки. [Ф-014] [Ф-073]</w:t>
            </w:r>
          </w:p>
        </w:tc>
        <w:tc>
          <w:tcPr>
            <w:tcW w:type="dxa" w:w="4326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Совокупный объём: 14,2 трлн юаней; Транзакций: 3,32 млрд; Личных кошельков: 225 млн; Данные на: сентябрь 2025</w:t>
            </w:r>
          </w:p>
        </w:tc>
      </w:tr>
      <w:tr>
        <w:trPr>
          <w:cantSplit/>
        </w:trPr>
        <w:tc>
          <w:tcPr>
            <w:tcW w:type="dxa" w:w="152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Россия</w:t>
            </w:r>
          </w:p>
        </w:tc>
        <w:tc>
          <w:tcPr>
            <w:tcW w:type="dxa" w:w="355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Массовое внедрение с 1 сентября 2026 года: обязанность для крупных банков и торговли. [Ф-074] [Ф-101]</w:t>
            </w:r>
          </w:p>
        </w:tc>
        <w:tc>
          <w:tcPr>
            <w:tcW w:type="dxa" w:w="4326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Старт: 1 сентября 2026; За 10 дней: 87 тыс. счетов; За месяц: более 220 тыс. счетов; Остальные банки: с 2027 и 2028</w:t>
            </w:r>
          </w:p>
        </w:tc>
      </w:tr>
      <w:tr>
        <w:trPr>
          <w:cantSplit/>
        </w:trPr>
        <w:tc>
          <w:tcPr>
            <w:tcW w:type="dxa" w:w="152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Европейский союз</w:t>
            </w:r>
          </w:p>
        </w:tc>
        <w:tc>
          <w:tcPr>
            <w:tcW w:type="dxa" w:w="355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Сначала закон, потом выпуск: пилоты возможны с середины 2027 года, первый выпуск — 2029 год. [Ф-015]</w:t>
            </w:r>
          </w:p>
        </w:tc>
        <w:tc>
          <w:tcPr>
            <w:tcW w:type="dxa" w:w="4326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Решение Совета: конец октября 2025; Первый выпуск: 2029; Затраты до выпуска: около 1,3 млрд евро; Затем в год: около 320 млн евро</w:t>
            </w:r>
          </w:p>
        </w:tc>
      </w:tr>
      <w:tr>
        <w:trPr>
          <w:cantSplit/>
        </w:trPr>
        <w:tc>
          <w:tcPr>
            <w:tcW w:type="dxa" w:w="152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Япония</w:t>
            </w:r>
          </w:p>
        </w:tc>
        <w:tc>
          <w:tcPr>
            <w:tcW w:type="dxa" w:w="355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Расширила пилот; решение о запуске не принято. [Ф-016]</w:t>
            </w:r>
          </w:p>
        </w:tc>
        <w:tc>
          <w:tcPr>
            <w:tcW w:type="dxa" w:w="4326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Организаций в пилоте: не менее 60; Безналичных платежей: около 42,8%; Решение о запуске: не принято</w:t>
            </w:r>
          </w:p>
        </w:tc>
      </w:tr>
      <w:tr>
        <w:trPr>
          <w:cantSplit/>
        </w:trPr>
        <w:tc>
          <w:tcPr>
            <w:tcW w:type="dxa" w:w="152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Нигерия</w:t>
            </w:r>
          </w:p>
        </w:tc>
        <w:tc>
          <w:tcPr>
            <w:tcW w:type="dxa" w:w="355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eNaira работала без сбоев, но клиентов оказалось менее 1% активных банковских счетов. [Ф-041]</w:t>
            </w:r>
          </w:p>
        </w:tc>
        <w:tc>
          <w:tcPr>
            <w:tcW w:type="dxa" w:w="4326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Розничных клиентов: менее 1% счетов; Мера: лимиты на снятие наличных; Результат: отток наличных, низкий спрос</w:t>
            </w:r>
          </w:p>
        </w:tc>
      </w:tr>
      <w:tr>
        <w:trPr>
          <w:cantSplit/>
        </w:trPr>
        <w:tc>
          <w:tcPr>
            <w:tcW w:type="dxa" w:w="152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Казахстан</w:t>
            </w:r>
          </w:p>
        </w:tc>
        <w:tc>
          <w:tcPr>
            <w:tcW w:type="dxa" w:w="35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Сначала пилоты, потом закон; нет процентов; обязательность для части бюджетных платежей. [Ф-102] [Ф-019] [Ф-081]</w:t>
            </w:r>
          </w:p>
        </w:tc>
        <w:tc>
          <w:tcPr>
            <w:tcW w:type="dxa" w:w="43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Выпуск: 336,6 млрд тенге (конец 2025); Счетов: 265 (конец 2025); Статус: законное платёжное средство с 18.07.2026; Банков-участников: 9 (27.10.2026)</w:t>
            </w:r>
          </w:p>
        </w:tc>
      </w:tr>
    </w:tbl>
    <w:p>
      <w:pPr>
        <w:pStyle w:val="BodyText"/>
      </w:pPr>
      <w:r>
        <w:rPr>
          <w:iCs/>
          <w:i/>
        </w:rPr>
        <w:t xml:space="preserve">Таблица. Подходы разных стран</w:t>
      </w:r>
    </w:p>
    <w:bookmarkEnd w:id="71"/>
    <w:bookmarkStart w:id="72" w:name="международные-расчёты"/>
    <w:p>
      <w:pPr>
        <w:pStyle w:val="Heading2"/>
      </w:pPr>
      <w:r>
        <w:t xml:space="preserve">Международные расчёты</w:t>
      </w:r>
    </w:p>
    <w:p>
      <w:pPr>
        <w:pStyle w:val="FirstParagraph"/>
      </w:pPr>
      <w:r>
        <w:t xml:space="preserve">Отдельное направление — трансграничные платежи. Здесь Казахстан тоже не одинок: НБРК присоединился к проекту mBridge как наблюдатель [Ф-062], а летом 2024 года подписал с Народным банком Китая меморандум о сотрудничестве по цифровым валютам [Ф-063]. В августе 2026 года стороны договорились о пилоте расчётов в цифровых тенге и юанях [Ф-090]. Отметим, что сведений о реальных, не тестовых платежах пока нет. А сам mBridge остался без Банка международных расчётов, который в октябре 2024 года вышел из проекта и передал его центральным банкам Китая, Гонконга, Таиланда, ОАЭ и Саудовской Аравии [Ф-100].</w:t>
      </w:r>
    </w:p>
    <w:bookmarkEnd w:id="72"/>
    <w:bookmarkStart w:id="73" w:name="что-отсюда-следует"/>
    <w:p>
      <w:pPr>
        <w:pStyle w:val="Heading2"/>
      </w:pPr>
      <w:r>
        <w:t xml:space="preserve">Что отсюда следует</w:t>
      </w:r>
    </w:p>
    <w:p>
      <w:pPr>
        <w:pStyle w:val="FirstParagraph"/>
      </w:pPr>
      <w:r>
        <w:t xml:space="preserve">Два вывода. Первый: масштаб ЦВЦБ не гарантирует розничного принятия — Китай, самый крупный из всех, сменил курс. Второй: при развитых быстрых платежах (а в Казахстане около 87% платежей уже безналичные [Ф-003]) у цифровой валюты мало розничных преимуществ. Поэтому все страны ищут её настоящую нишу, и казахстанская ниша — прослеживаемость государственных денег — по крайней мере понятна.</w:t>
      </w:r>
    </w:p>
    <w:p>
      <w:pPr>
        <w:pStyle w:val="BodyText"/>
      </w:pPr>
      <w:r>
        <w:t xml:space="preserve">МВФ в блоге 2024 года назвал Казахстан наиболее продвинутой страной региона по этому направлению [Ф-099]. Это комплимент проекту. Но чтобы оценить его по-настоящему, надо посмотреть и на то, что может пойти не так.</w:t>
      </w:r>
    </w:p>
    <w:bookmarkEnd w:id="73"/>
    <w:bookmarkEnd w:id="74"/>
    <w:bookmarkStart w:id="80" w:name="risks"/>
    <w:p>
      <w:pPr>
        <w:pStyle w:val="Heading1"/>
        <w:pageBreakBefore/>
      </w:pPr>
      <w:r>
        <w:t xml:space="preserve">Что может пойти не так и чего мы пока не знаем</w:t>
      </w:r>
    </w:p>
    <w:p>
      <w:pPr>
        <w:pStyle w:val="FirstParagraph"/>
      </w:pPr>
      <w:r>
        <w:t xml:space="preserve">Хороший научно-популярный разбор не должен быть рекламой. Поэтому в конце разговора о технологии нужно перечислить уязвимые места. Мы разделили их на две группы: риски (то, что может случиться) и белые пятна (то, чего мы не знаем).</w:t>
      </w:r>
    </w:p>
    <w:bookmarkStart w:id="78" w:name="риски"/>
    <w:p>
      <w:pPr>
        <w:pStyle w:val="Heading2"/>
      </w:pPr>
      <w:r>
        <w:t xml:space="preserve">Риски</w:t>
      </w:r>
    </w:p>
    <w:p>
      <w:pPr>
        <w:pStyle w:val="FirstParagraph"/>
      </w:pPr>
      <w:r>
        <w:rPr>
          <w:iCs/>
          <w:i/>
        </w:rPr>
        <w:t xml:space="preserve">Плохие данные.</w:t>
      </w:r>
      <w:r>
        <w:t xml:space="preserve"> </w:t>
      </w:r>
      <w:r>
        <w:t xml:space="preserve">Это главный риск, и мы уже говорили о нём: платформа передаст в платёж любую ошибку, которую ей сообщила внешняя система. Оператор сам называет качество эталонных данных условием успеха [Ф-013]. Минфин тоже признаёт барьер: субподрядчики пока не обязаны работать через смарт-контракты, и цепочка за ними теряется [Ф-089].</w:t>
      </w:r>
    </w:p>
    <w:p>
      <w:pPr>
        <w:pStyle w:val="BodyText"/>
      </w:pPr>
      <w:r>
        <w:rPr>
          <w:iCs/>
          <w:i/>
        </w:rPr>
        <w:t xml:space="preserve">Приватность.</w:t>
      </w:r>
      <w:r>
        <w:t xml:space="preserve"> </w:t>
      </w:r>
      <w:r>
        <w:t xml:space="preserve">В розничном кошельке пользователь вправе скрывать данные от других участников, кроме банка, а для государственных маркированных денег информация о транзакциях передаётся на узел того, кто маркировал [Ф-107]. Между этими режимами проходит граница, но кто и когда её определяет, из открытых материалов неясно.</w:t>
      </w:r>
    </w:p>
    <w:p>
      <w:pPr>
        <w:pStyle w:val="BodyText"/>
      </w:pPr>
      <w:r>
        <w:rPr>
          <w:iCs/>
          <w:i/>
        </w:rPr>
        <w:t xml:space="preserve">Принуждение через заказы.</w:t>
      </w:r>
      <w:r>
        <w:t xml:space="preserve"> </w:t>
      </w:r>
      <w:r>
        <w:t xml:space="preserve">Обязательность для бюджетных платежей превращает цифровой тенге из выбора в условие работы с государством [Ф-085]. Крупным подрядчикам это нетрудно, малым — вопрос.</w:t>
      </w:r>
    </w:p>
    <w:p>
      <w:pPr>
        <w:pStyle w:val="BodyText"/>
      </w:pPr>
      <w:r>
        <w:rPr>
          <w:iCs/>
          <w:i/>
        </w:rPr>
        <w:t xml:space="preserve">Экономика банков.</w:t>
      </w:r>
      <w:r>
        <w:t xml:space="preserve"> </w:t>
      </w:r>
      <w:r>
        <w:t xml:space="preserve">Банки обязаны подключаться [Ф-022], тарифы платформы введены [Ф-078], но предельные комиссии с клиентов и модель дохода банков в открытых материалах не найдены.</w:t>
      </w:r>
    </w:p>
    <w:p>
      <w:pPr>
        <w:pStyle w:val="BodyText"/>
      </w:pPr>
      <w:r>
        <w:rPr>
          <w:iCs/>
          <w:i/>
        </w:rPr>
        <w:t xml:space="preserve">Слабый розничный спрос.</w:t>
      </w:r>
      <w:r>
        <w:t xml:space="preserve"> </w:t>
      </w:r>
      <w:r>
        <w:t xml:space="preserve">При дизайне без процентов, при развитой системе быстрых платежей и при том, что цифровых счетов были сотни [Ф-102], у людей мало причин переходить. Опыт Нигерии это подтверждает [Ф-041].</w:t>
      </w:r>
    </w:p>
    <w:p>
      <w:pPr>
        <w:pStyle w:val="BodyText"/>
      </w:pPr>
      <w:r>
        <w:rPr>
          <w:iCs/>
          <w:i/>
        </w:rPr>
        <w:t xml:space="preserve">Мошенничество.</w:t>
      </w:r>
      <w:r>
        <w:t xml:space="preserve"> </w:t>
      </w:r>
      <w:r>
        <w:t xml:space="preserve">Как только появляется новый инструмент, появляются те, кто пытается на нём заработать. В марте 2026 года Нацбанк предупредил о рекламе якобы «государственного инвестиционного проекта цифрового тенге»: это фишинг, а цифровой тенге — это деньги, а не инвестиционный инструмент [Ф-098]. У мошенников в Казахстане серьёзный противник: Национальный Антифрод-центр уже объединяет более 260 участников, и, по сообщению НПК, ущерб на 126,7 млрд тенге предотвращён по состоянию на 1 октября 2026 года [Ф-094].</w:t>
      </w:r>
    </w:p>
    <w:p>
      <w:pPr>
        <w:pStyle w:val="BodyText"/>
      </w:pPr>
      <w:r>
        <w:rPr>
          <w:iCs/>
          <w:i/>
        </w:rPr>
        <w:t xml:space="preserve">Единые точки отказа.</w:t>
      </w:r>
      <w:r>
        <w:t xml:space="preserve"> </w:t>
      </w:r>
      <w:r>
        <w:t xml:space="preserve">Нотариальная нода и оракулы — центральные узлы: остановка любого из них остановит расчёты [Ф-106]. Данных о производительности и доступности платформы в открытых материалах нет.</w:t>
      </w:r>
    </w:p>
    <w:p>
      <w:pPr>
        <w:pStyle w:val="CaptionedFigure"/>
      </w:pPr>
      <w:r>
        <w:drawing>
          <wp:inline>
            <wp:extent cx="5969000" cy="3025383"/>
            <wp:effectExtent b="0" l="0" r="0" t="0"/>
            <wp:docPr descr="Карта рисков" title="" id="76" name="Picture"/>
            <a:graphic>
              <a:graphicData uri="http://schemas.openxmlformats.org/drawingml/2006/picture">
                <pic:pic>
                  <pic:nvPicPr>
                    <pic:cNvPr descr="figures/risks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025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Карта рисков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Плохие данные.</w:t>
      </w:r>
      <w:r>
        <w:t xml:space="preserve"> </w:t>
      </w:r>
      <w:r>
        <w:t xml:space="preserve">Платформа передаст в платёж любую ошибку внешней системы. [Ф-013] [Ф-089]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Граница приватности.</w:t>
      </w:r>
      <w:r>
        <w:t xml:space="preserve"> </w:t>
      </w:r>
      <w:r>
        <w:t xml:space="preserve">Розничная приватность и прослеживаемость государственных денег: кто определяет границу. [Ф-107]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Принуждение через заказы.</w:t>
      </w:r>
      <w:r>
        <w:t xml:space="preserve"> </w:t>
      </w:r>
      <w:r>
        <w:t xml:space="preserve">Обязательность для бюджетных платежей превращает цифровой тенге в условие допуска к заказу. [Ф-085]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Экономика банков.</w:t>
      </w:r>
      <w:r>
        <w:t xml:space="preserve"> </w:t>
      </w:r>
      <w:r>
        <w:t xml:space="preserve">Банки обязаны подключаться; модель дохода и пределы комиссий не раскрыты. [Ф-022] [Ф-078]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Слабый розничный спрос.</w:t>
      </w:r>
      <w:r>
        <w:t xml:space="preserve"> </w:t>
      </w:r>
      <w:r>
        <w:t xml:space="preserve">Без процентов и при развитых быстрых платежах у людей мало причин переходить. [Ф-041] [Ф-102]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Мошенничество.</w:t>
      </w:r>
      <w:r>
        <w:t xml:space="preserve"> </w:t>
      </w:r>
      <w:r>
        <w:t xml:space="preserve">Новый инструмент привлекает мошенников; против них работает Антифрод-центр. [Ф-098] [Ф-094]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Единые точки отказа.</w:t>
      </w:r>
      <w:r>
        <w:t xml:space="preserve"> </w:t>
      </w:r>
      <w:r>
        <w:t xml:space="preserve">Нотариальная нода и оракулы — центральные узлы; данных о доступности нет. [Ф-106]</w:t>
      </w:r>
    </w:p>
    <w:bookmarkEnd w:id="78"/>
    <w:bookmarkStart w:id="79" w:name="чего-мы-не-знаем"/>
    <w:p>
      <w:pPr>
        <w:pStyle w:val="Heading2"/>
      </w:pPr>
      <w:r>
        <w:t xml:space="preserve">Чего мы не знаем</w:t>
      </w:r>
    </w:p>
    <w:p>
      <w:pPr>
        <w:pStyle w:val="FirstParagraph"/>
      </w:pPr>
      <w:r>
        <w:t xml:space="preserve">Эти вопросы мы не смогли закрыть по открытым источникам. Они не говорят, что проект плох; они говорят, что судить о нём пока трудно.</w:t>
      </w:r>
    </w:p>
    <w:p>
      <w:pPr>
        <w:numPr>
          <w:ilvl w:val="0"/>
          <w:numId w:val="1006"/>
        </w:numPr>
        <w:pStyle w:val="Compact"/>
      </w:pPr>
      <w:r>
        <w:t xml:space="preserve">Сколько реальных людей и компаний пользуются цифровым тенге после 18 июля 2026 года. Последние официальные цифры (265 счетов) относятся к концу 2025 года [Ф-102].</w:t>
      </w:r>
    </w:p>
    <w:p>
      <w:pPr>
        <w:numPr>
          <w:ilvl w:val="0"/>
          <w:numId w:val="1006"/>
        </w:numPr>
        <w:pStyle w:val="Compact"/>
      </w:pPr>
      <w:r>
        <w:t xml:space="preserve">Какова стоимость проекта для бюджета и для оператора.</w:t>
      </w:r>
    </w:p>
    <w:p>
      <w:pPr>
        <w:numPr>
          <w:ilvl w:val="0"/>
          <w:numId w:val="1006"/>
        </w:numPr>
        <w:pStyle w:val="Compact"/>
      </w:pPr>
      <w:r>
        <w:t xml:space="preserve">Каков реальный эффект: насколько сократился срок возврата НДС и доля нецелевых расходов. Заявления есть [Ф-096], независимых измерений нет.</w:t>
      </w:r>
    </w:p>
    <w:p>
      <w:pPr>
        <w:numPr>
          <w:ilvl w:val="0"/>
          <w:numId w:val="1006"/>
        </w:numPr>
        <w:pStyle w:val="Compact"/>
      </w:pPr>
      <w:r>
        <w:t xml:space="preserve">Каковы предельные комиссии банков с клиентов.</w:t>
      </w:r>
    </w:p>
    <w:p>
      <w:pPr>
        <w:numPr>
          <w:ilvl w:val="0"/>
          <w:numId w:val="1006"/>
        </w:numPr>
        <w:pStyle w:val="Compact"/>
      </w:pPr>
      <w:r>
        <w:t xml:space="preserve">Насколько надёжна платформа под нагрузкой: открытых показателей нет.</w:t>
      </w:r>
    </w:p>
    <w:p>
      <w:pPr>
        <w:numPr>
          <w:ilvl w:val="0"/>
          <w:numId w:val="1006"/>
        </w:numPr>
        <w:pStyle w:val="Compact"/>
      </w:pPr>
      <w:r>
        <w:t xml:space="preserve">Проходил ли хотя бы один реальный, не тестовый платёж в цифровом тенге за границу [Ф-090].</w:t>
      </w:r>
    </w:p>
    <w:p>
      <w:pPr>
        <w:numPr>
          <w:ilvl w:val="0"/>
          <w:numId w:val="1006"/>
        </w:numPr>
        <w:pStyle w:val="Compact"/>
      </w:pPr>
      <w:r>
        <w:t xml:space="preserve">Что означает «охват в 2 трлн тенге» в заявлении Нацбанка: накопленный выпуск или объём платежей через платформу [Ф-088].</w:t>
      </w:r>
    </w:p>
    <w:p>
      <w:pPr>
        <w:numPr>
          <w:ilvl w:val="0"/>
          <w:numId w:val="1006"/>
        </w:numPr>
        <w:pStyle w:val="Compact"/>
      </w:pPr>
      <w:r>
        <w:t xml:space="preserve">Действительно ли на платформе проведено «свыше тысячи» операций, и как это соотносится с другими цифрами оператора (см. главу «Что показали пилоты»).</w:t>
      </w:r>
    </w:p>
    <w:p>
      <w:pPr>
        <w:pStyle w:val="FirstParagraph"/>
      </w:pPr>
      <w:r>
        <w:t xml:space="preserve">Но чтобы заглянуть вперёд, нужны не только риски, но и сценарии.</w:t>
      </w:r>
    </w:p>
    <w:bookmarkEnd w:id="79"/>
    <w:bookmarkEnd w:id="80"/>
    <w:bookmarkStart w:id="87" w:name="scenarios"/>
    <w:p>
      <w:pPr>
        <w:pStyle w:val="Heading1"/>
        <w:pageBreakBefore/>
      </w:pPr>
      <w:r>
        <w:t xml:space="preserve">Что дальше: три сценария</w:t>
      </w:r>
    </w:p>
    <w:p>
      <w:pPr>
        <w:pStyle w:val="FirstParagraph"/>
      </w:pPr>
      <w:r>
        <w:t xml:space="preserve">Предсказывать будущее денег — занятие неблагодарное. Поэтому вместо прогноза предложим три сценария, которые отличаются тем, что произойдёт с данными, тарифами и спросом. Это построения редакции, а не прогнозы оператора.</w:t>
      </w:r>
    </w:p>
    <w:bookmarkStart w:id="81" w:name="три-траектории"/>
    <w:p>
      <w:pPr>
        <w:pStyle w:val="Heading2"/>
      </w:pPr>
      <w:r>
        <w:t xml:space="preserve">Три траектории</w:t>
      </w:r>
    </w:p>
    <w:p>
      <w:pPr>
        <w:pStyle w:val="FirstParagraph"/>
      </w:pPr>
      <w:r>
        <w:rPr>
          <w:iCs/>
          <w:i/>
        </w:rPr>
        <w:t xml:space="preserve">Государственный инструмент</w:t>
      </w:r>
      <w:r>
        <w:t xml:space="preserve"> </w:t>
      </w:r>
      <w:r>
        <w:t xml:space="preserve">(по нашей оценке, самый вероятный). Цифровой тенге закрепляется как платёжный слой государства: перечень расходов растёт, пилоты Минфина становятся регулярной практикой, розница остаётся нишей. Эффект — прозрачность бюджетных платежей и автоматизация НДС для участников. Условие — готовность государственных информационных систем.</w:t>
      </w:r>
    </w:p>
    <w:p>
      <w:pPr>
        <w:pStyle w:val="BodyText"/>
      </w:pPr>
      <w:r>
        <w:rPr>
          <w:iCs/>
          <w:i/>
        </w:rPr>
        <w:t xml:space="preserve">Выход на рынок.</w:t>
      </w:r>
      <w:r>
        <w:t xml:space="preserve"> </w:t>
      </w:r>
      <w:r>
        <w:t xml:space="preserve">К государственному ядру добавляются коммерческие сценарии: расчёты при сделках с условиями (по образцу эскроу), токенизация активов, расчёты по ценным бумагам. Банки находят свою модель дохода, а вопрос о процентах пересматривается. Условие — понятная экономика для банков и закон о токенизированных активах.</w:t>
      </w:r>
    </w:p>
    <w:p>
      <w:pPr>
        <w:pStyle w:val="BodyText"/>
      </w:pPr>
      <w:r>
        <w:rPr>
          <w:iCs/>
          <w:i/>
        </w:rPr>
        <w:t xml:space="preserve">Формальность.</w:t>
      </w:r>
      <w:r>
        <w:t xml:space="preserve"> </w:t>
      </w:r>
      <w:r>
        <w:t xml:space="preserve">Обязательность соблюдается на бумаге, данные неполные, платежи проходят вручную; банки несут издержки без дохода; интерес пропадает. Признак — переносы сроков и неопубликованные показатели.</w:t>
      </w:r>
    </w:p>
    <w:bookmarkEnd w:id="81"/>
    <w:bookmarkStart w:id="85" w:name="арифметика-цели"/>
    <w:p>
      <w:pPr>
        <w:pStyle w:val="Heading2"/>
      </w:pPr>
      <w:r>
        <w:t xml:space="preserve">Арифметика цели</w:t>
      </w:r>
    </w:p>
    <w:p>
      <w:pPr>
        <w:pStyle w:val="FirstParagraph"/>
      </w:pPr>
      <w:r>
        <w:t xml:space="preserve">Нацбанк назвал цель — довести охват цифрового тенге до 2 трлн тенге в течение 12 месяцев [Ф-088]. Возьмём простое предположение: речь о накопленном выпуске, а исходная точка — около 340 млрд. Тогда за год нужно прибавлять примерно 138 млрд в месяц. Самый быстрый известный нам темп — около 14 млрд в месяц во второй половине 2025 года. То есть цель потребует ускорения примерно в десять раз. Если же «охват» означает объём платежей, проходящих через платформу, арифметика другая, и тут нужны разъяснения оператора.</w:t>
      </w:r>
    </w:p>
    <w:p>
      <w:pPr>
        <w:pStyle w:val="CaptionedFigure"/>
      </w:pPr>
      <w:r>
        <w:drawing>
          <wp:inline>
            <wp:extent cx="5969000" cy="2746619"/>
            <wp:effectExtent b="0" l="0" r="0" t="0"/>
            <wp:docPr descr="Темп выпуска: что было и что нужно для целей" title="" id="83" name="Picture"/>
            <a:graphic>
              <a:graphicData uri="http://schemas.openxmlformats.org/drawingml/2006/picture">
                <pic:pic>
                  <pic:nvPicPr>
                    <pic:cNvPr descr="figures/pac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746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Темп выпуска: что было и что нужно для целей</w:t>
      </w:r>
    </w:p>
    <w:p>
      <w:pPr>
        <w:pStyle w:val="BodyText"/>
      </w:pPr>
      <w:r>
        <w:t xml:space="preserve">Эта арифметика не доказывает, что цель недостижима: обязательность для бюджетных платежей, вступившая в силу 30 октября [Ф-087], как раз и может дать скачок. Но она показывает, насколько цель отличается от темпа последнего известного периода.</w:t>
      </w:r>
    </w:p>
    <w:bookmarkEnd w:id="85"/>
    <w:bookmarkStart w:id="86" w:name="за-чем-следить"/>
    <w:p>
      <w:pPr>
        <w:pStyle w:val="Heading2"/>
      </w:pPr>
      <w:r>
        <w:t xml:space="preserve">За чем следить</w:t>
      </w:r>
    </w:p>
    <w:p>
      <w:pPr>
        <w:pStyle w:val="FirstParagraph"/>
      </w:pPr>
      <w:r>
        <w:t xml:space="preserve">Если вы хотите наблюдать за проектом сами, вот шесть показателей, которые стоит сверять каждые полгода: накопленный выпуск и остатки; число цифровых счетов по категориям (госорганы, компании, граждане); доля бюджетных расходов, исполненных в цифровой форме; фактический срок возврата НДС у участников пилота; число банков, подключённых к платформе (на 27 октября 2026 года — девять [Ф-081]); показатели доступности платформы. Ни один из них пока не публикуется регулярно.</w:t>
      </w:r>
    </w:p>
    <w:bookmarkEnd w:id="86"/>
    <w:bookmarkEnd w:id="87"/>
    <w:bookmarkStart w:id="91" w:name="method"/>
    <w:p>
      <w:pPr>
        <w:pStyle w:val="Heading1"/>
        <w:pageBreakBefore/>
      </w:pPr>
      <w:r>
        <w:t xml:space="preserve">Как мы проверяли факты</w:t>
      </w:r>
    </w:p>
    <w:p>
      <w:pPr>
        <w:pStyle w:val="FirstParagraph"/>
      </w:pPr>
      <w:r>
        <w:t xml:space="preserve">Этот материал выходит в нескольких редакциях, и каждая следует одним правилам.</w:t>
      </w:r>
    </w:p>
    <w:p>
      <w:pPr>
        <w:pStyle w:val="BodyText"/>
      </w:pPr>
      <w:r>
        <w:rPr>
          <w:iCs/>
          <w:i/>
        </w:rPr>
        <w:t xml:space="preserve">Первичные источники — первыми.</w:t>
      </w:r>
      <w:r>
        <w:t xml:space="preserve"> </w:t>
      </w:r>
      <w:r>
        <w:t xml:space="preserve">Законы, подзаконные акты, доклады Национального Банка и НПК, страницы оператора. Они считаются основой.</w:t>
      </w:r>
    </w:p>
    <w:p>
      <w:pPr>
        <w:pStyle w:val="BodyText"/>
      </w:pPr>
      <w:r>
        <w:rPr>
          <w:iCs/>
          <w:i/>
        </w:rPr>
        <w:t xml:space="preserve">Пересказ в прессе — с оговоркой.</w:t>
      </w:r>
      <w:r>
        <w:t xml:space="preserve"> </w:t>
      </w:r>
      <w:r>
        <w:t xml:space="preserve">Если факт известен нам только из новостей, рядом с ним стоит янтарный значок «пересказ СМИ». В карточке указано, откуда взято.</w:t>
      </w:r>
    </w:p>
    <w:p>
      <w:pPr>
        <w:pStyle w:val="BodyText"/>
      </w:pPr>
      <w:r>
        <w:rPr>
          <w:iCs/>
          <w:i/>
        </w:rPr>
        <w:t xml:space="preserve">Расчёты редакции — подписаны.</w:t>
      </w:r>
      <w:r>
        <w:t xml:space="preserve"> </w:t>
      </w:r>
      <w:r>
        <w:t xml:space="preserve">Когда мы сравниваем, делим и прикидываем (например, долю выпуска в безналичном обороте), цифра помечена как расчёт.</w:t>
      </w:r>
    </w:p>
    <w:p>
      <w:pPr>
        <w:pStyle w:val="BodyText"/>
      </w:pPr>
      <w:r>
        <w:rPr>
          <w:iCs/>
          <w:i/>
        </w:rPr>
        <w:t xml:space="preserve">Сомнительное не включается.</w:t>
      </w:r>
      <w:r>
        <w:t xml:space="preserve"> </w:t>
      </w:r>
      <w:r>
        <w:t xml:space="preserve">В публичную редакцию не попало всё, что мы не смогли подтвердить двумя независимыми способами или что противоречит другим источникам оператора. Эти вопросы вынесены в главу о белых пятнах.</w:t>
      </w:r>
    </w:p>
    <w:p>
      <w:pPr>
        <w:pStyle w:val="BodyText"/>
      </w:pPr>
      <w:r>
        <w:rPr>
          <w:iCs/>
          <w:i/>
        </w:rPr>
        <w:t xml:space="preserve">Расхождения не скрываются.</w:t>
      </w:r>
      <w:r>
        <w:t xml:space="preserve"> </w:t>
      </w:r>
      <w:r>
        <w:t xml:space="preserve">Если два источника дают разные числа, мы не выбираем молча, а говорим об этом читателю.</w:t>
      </w:r>
    </w:p>
    <w:p>
      <w:pPr>
        <w:pStyle w:val="BodyText"/>
      </w:pPr>
      <w:r>
        <w:rPr>
          <w:iCs/>
          <w:i/>
        </w:rPr>
        <w:t xml:space="preserve">Факты не исчезают.</w:t>
      </w:r>
      <w:r>
        <w:t xml:space="preserve"> </w:t>
      </w:r>
      <w:r>
        <w:t xml:space="preserve">Устаревший факт заменяется новым с ссылкой на замену, а старая запись сохраняется. Так можно сравнить, что изменилось между редакциями.</w:t>
      </w:r>
    </w:p>
    <w:bookmarkStart w:id="88" w:name="реестр-фактов"/>
    <w:p>
      <w:pPr>
        <w:pStyle w:val="Heading2"/>
      </w:pPr>
      <w:r>
        <w:t xml:space="preserve">Реестр фактов</w:t>
      </w:r>
    </w:p>
    <w:p>
      <w:pPr>
        <w:pStyle w:val="FirstParagraph"/>
      </w:pPr>
      <w:r>
        <w:t xml:space="preserve">В реестре ниже только те факты, которые упомянуты в публичной редакции. Их можно искать и фильтровать.</w:t>
      </w:r>
    </w:p>
    <w:p>
      <w:pPr>
        <w:pStyle w:val="BodyText"/>
      </w:pPr>
      <w:r>
        <w:t xml:space="preserve">Полный реестр фактов этой редакции приведён в приложении «Реестр фактов».</w:t>
      </w:r>
    </w:p>
    <w:bookmarkEnd w:id="88"/>
    <w:bookmarkStart w:id="89" w:name="источники"/>
    <w:p>
      <w:pPr>
        <w:pStyle w:val="Heading2"/>
      </w:pPr>
      <w:r>
        <w:t xml:space="preserve">Источники</w:t>
      </w:r>
    </w:p>
    <w:p>
      <w:pPr>
        <w:pStyle w:val="FirstParagraph"/>
      </w:pPr>
      <w:r>
        <w:t xml:space="preserve">Полный перечень источников с адресами и датами обращения приведён в конце документа и в реестре. Основные группы: тексты законов и постановлений; доклады НБРК и НПК 2021–2026 годов; страницы НПК (тарифы, участники, новости); сообщения информагентств и профильных изданий; материалы международных организаций (МВФ, Банк международных расчётов, Банк России, ЕЦБ, Народный банк Китая).</w:t>
      </w:r>
    </w:p>
    <w:bookmarkEnd w:id="89"/>
    <w:bookmarkStart w:id="90" w:name="как-подготовлен-материал"/>
    <w:p>
      <w:pPr>
        <w:pStyle w:val="Heading2"/>
      </w:pPr>
      <w:r>
        <w:t xml:space="preserve">Как подготовлен материал</w:t>
      </w:r>
    </w:p>
    <w:p>
      <w:pPr>
        <w:pStyle w:val="FirstParagraph"/>
      </w:pPr>
      <w:r>
        <w:t xml:space="preserve">Материал подготовлен редакцией The Tenge с использованием инструментов искусственного интеллекта; каждая цифра сверена с источником, а спорные исключены. Полная аналитическая версия с реестрами расхождений и белых пятен хранится в рабочем репозитории проекта.</w:t>
      </w:r>
    </w:p>
    <w:bookmarkEnd w:id="90"/>
    <w:bookmarkEnd w:id="91"/>
    <w:bookmarkStart w:id="92" w:name="приложение.-реестр-фактов"/>
    <w:p>
      <w:pPr>
        <w:pStyle w:val="Heading1"/>
        <w:pageBreakBefore/>
      </w:pPr>
      <w:r>
        <w:t xml:space="preserve">Приложение. Реестр фактов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8EA0C0"/>
          <w:left w:val="single" w:sz="4" w:space="0" w:color="8EA0C0"/>
          <w:bottom w:val="single" w:sz="4" w:space="0" w:color="8EA0C0"/>
          <w:right w:val="single" w:sz="4" w:space="0" w:color="8EA0C0"/>
          <w:insideH w:val="single" w:sz="4" w:space="0" w:color="8EA0C0"/>
          <w:insideV w:val="single" w:sz="4" w:space="0" w:color="8EA0C0"/>
        </w:tblBorders>
        <w:tblCellMar>
          <w:top w:w="50" w:type="dxa"/>
          <w:left w:w="90" w:type="dxa"/>
          <w:bottom w:w="50" w:type="dxa"/>
          <w:right w:w="90" w:type="dxa"/>
        </w:tblCellMar>
        <w:tblW w:w="9412" w:type="dxa"/>
        <w:tblLayout w:type="fixed"/>
      </w:tblPr>
      <w:tblGrid>
        <w:gridCol w:w="820"/>
        <w:gridCol w:w="3565"/>
        <w:gridCol w:w="2440"/>
        <w:gridCol w:w="1292"/>
        <w:gridCol w:w="1295"/>
      </w:tblGrid>
      <w:tr>
        <w:trPr>
          <w:tblHeader w:val="true"/>
          <w:cantSplit/>
          <w:tblHeader/>
        </w:trPr>
        <w:tc>
          <w:tcPr>
            <w:tcW w:type="dxa" w:w="820"/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Код</w:t>
            </w:r>
          </w:p>
        </w:tc>
        <w:tc>
          <w:tcPr>
            <w:tcW w:type="dxa" w:w="3565"/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Содержание</w:t>
            </w:r>
          </w:p>
        </w:tc>
        <w:tc>
          <w:tcPr>
            <w:tcW w:type="dxa" w:w="2440"/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Источник</w:t>
            </w:r>
          </w:p>
        </w:tc>
        <w:tc>
          <w:tcPr>
            <w:tcW w:type="dxa" w:w="1292"/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Год</w:t>
            </w:r>
          </w:p>
        </w:tc>
        <w:tc>
          <w:tcPr>
            <w:tcW w:type="dxa" w:w="1295"/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Уровень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Ф-003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Доля безналичных операций в РК по итогам 2024 г. — около 87%; 12,8 млрд операций на 166,1 трлн тенге; прирост +13,4% по числу и +17% по объёму; 24,8 млн активных пользователей ДБО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Итоговый доклад 2025, с. 21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2024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Ф-006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Архетипы программируемости: «Маркировка» (целевое назначение) и «Холдирование» (платёж по наступлении события); на них реализованы 5 сценариев 2024 г.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Итоговый доклад 2025, с. 19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2024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Ф-007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8 сценариев 2024–2025: Нацфонд (Достык–Мойынты, Талдыкорган–Ушарал; июнь 2024 – дек. 2025; 14 ЮЛ); Инвест-субсидии в лизинг (дек. 2024; 2 ЮЛ); Покупка с/х животных («Ауыл-Аманаты»; дек. 2024 – март 2025; 2 ЮЛ + 15 ФЛ); Средний ремонт дорог (Атырауская и Павлодарская обл.; 22 ЮЛ); Цифровой НДС (4 ЮЛ); Федерация футбола, проект «Алан» (22 ЮЛ); Закупки НБРК (15 ЮЛ); Кредитование с ФРП «Даму» (нояб.–дек. 2025; 4 ЮЛ)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Итоговый доклад 2025, табл. 1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Ф-008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Холдирование: приобретено 2 единицы с/х техники, выдано 12 займов на 287 голов скота; интеграция с ГИСС и ИС «Идентификация сельскохозяйственных животных»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Итоговый доклад 2025, с. 37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Ф-009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Глубина отслеживания цепочки практически достижима до 2–3 колен поставщиков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Итоговый доклад 2025, с. 36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Ф-010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«Цифровой НДС»: токены НДС не имеют срока действия, становятся стандартными только при перечислении в налоговый орган; в 2025 г. прямая интеграция с ИС КГД и ИС ЭСФ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Итоговый доклад 2025, с. 31–34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Ф-012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 ходе ОПЭ ЦТ юридически выступал как эмитированные НБРК электронные деньги и обязательство НБРК; в январе 2026 принят Закон «О банках и банковской деятельности в РК», закрепивший статус ЦТ как новой формы национальной валюты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Итоговый доклад 2025, с. 46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Ф-013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Шесть выводов НПК: ЦТ не панацея; программируемость требует доверенных источников данных; сначала правила, потом технология; эффект — при контроле в реальном времени; нужны стимулы банкам и бизнесу; малые пилоты снижают риски; ранее вовлечение ведомств и правовой статус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Итоговый доклад 2025, с. 43–44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Ф-014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Китай: на конец сентября 2025 г. объём e-CNY — 14,2 трлн юаней (≈2 трлн долл.), 3,32 млрд транзакций, 225 млн персональных кошельков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 со ссылкой на Xinhua, Итоговый доклад 2025, с. 13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Ф-015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ЕЦБ: решение Совета управляющих (конец октября 2025) перейти к следующему этапу; при принятии закона в 2026 г. пилотные транзакции возможны в середине 2027, первая эмиссия — 2029; затраты ≈1,3 млрд евро до эмиссии, затем ≈320 млн евро в год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 со ссылкой на ЕЦБ, Итоговый доклад 2025, с. 15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Ф-016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Банк Японии: пилот не менее 60 организаций; решение о запуске цифровой иены не принято; доля безналичных платежей 42,8%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Итоговый доклад 2025, с. 15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Ф-018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16 января 2026 г. Президент подписал Закон «О банках и банковской деятельности в РК» и Закон «О внесении изменений и дополнений в некоторые законодательные акты РК по вопросам регулирования и развития финансового рынка, связи и банкротства» (№ 259-VIII); в первом сообщении сказано, что формируется статус ЦТ как законного платёжного средства, единственный эмитент — НБРК, взаимодействие через участников финансового рынка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prg.kz, 16.01.2026; zakon.kz, 15.07.2026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Ф-019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Закон № 259-VIII дополнил Закон «О платежах и платёжных системах» главой 7-1 «Цифровой тенге» и пп. 62-4)–62-11) ст. 1; нормы о ЦТ вступили в силу 18 июля 2026 г. (через шесть месяцев после первого официального опубликования); большинство прочих статей — с 19 марта 2026 г., часть — с 1 января 2027 г.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zakon.kz, 15.07.2026; Әділет (Закон о платежах и платёжных системах, ред. с изм. 259-VIII)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Ф-020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Определение: ЦТ — цифровая форма национальной валюты РК и законное платёжное средство (пп. 62-4 ст. 1); выпускать и погашать ЦТ вправе исключительно НБРК; выпуск — в обмен на деньги владельца цифрового счёта; погашение — переводом эквивалентной суммы на банковский счёт владельца (ст. 41-3)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zakon.kz, 15.07.2026 (цитата ст. 41-3)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Ф-021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Участниками платформы ЦТ по договору с оператором могут быть банки, организации с отдельными видами банковских операций, центральный депозитарий, Комитет казначейства МФ, иные ППУ и ЮЛ по определению НБРК (п. 1 ст. 41-1)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zakon.kz, 15.07.2026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Ф-022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БВУ, оказывающие электронные банковские услуги через мобильные приложения или системы удалённого доступа, обязаны использовать компоненты НЦФИ для услуг, включая операции с ЦТ (п. 5 ст. 4-2, действует с 18 июля 2026 г.)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zakon.kz, 15.07.2026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Ф-023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Маркировка ЦТ — присвоение цифровому тенге уникальных буквенно-цифровых или графических знаков для последующей идентификации (пп. 62-6 ст. 1)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zakon.kz, 15.07.2026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Ф-024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Открытие цифрового счёта и погашение ЦТ бесплатны; банки вправе взимать комиссию за обслуживание операций, предельные размеры устанавливаются Правилами НБРК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zakon.kz, 15.07.2026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Ф-034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Сценарий «Цифровые ваучеры» (Акимат Алматы, «Казпочта», «Онай»): 7 492 транзакции, в среднем 499 в день, 100% обработаны успешно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White Paper 2023, с. 39 (сверено по макету)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2023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Ф-035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Сценарий «Цифровая карта» (Altyn Bank, Евразийский банк, Народный банк, Банк ЦентрКредит): 1 714 транзакций (сумма по банкам 583+536+436+159), в среднем 68 в день, средний чек 3 779 ЦТ; объём эмиссии по БВУ — 60%, 30%, 10%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White Paper 2023, с. 39 (сверено по макету)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2023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Ф-036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Опрос участников ОПЭ: покупка в ТСП через POS — 100% успешных; снятие в банкомате — 82% (проблема: банкоматы других банков); онлайн-покупки — 87%; 98% готовы участвовать в дальнейшем тестировании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White Paper 2023, с. 40 (сверено по макету)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2023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Ф-037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Интерес пользователей к дополнительной функциональности: офлайн-платежи 83%, трансграничные 67%, программируемые 53%, смарт-контракты 50%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White Paper 2023, с. 40 (сверено по макету)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2023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Ф-039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Решение о поэтапном внедрении ЦТ в три фазы до конца 2025 г. принято в конце 2022 г.; ОПЭ в 2023 г. с участием Visa, Mastercard и БВУ: Народный банк, Altyn Bank, Банк ЦентрКредит, Евразийский банк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НБРК, информационное сообщение от 15.12.2023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2023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Ф-041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Нигерия (eNaira): число розничных клиентов не достигло 1% активных банковских счетов; около 36% населения без банковских счетов; лимиты на обналичивание вызвали отток наличных и низкий спрос на ЦВЦБ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Статус-доклад от 18.09.2023, с. 3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2023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Ф-043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Дорожная карта НБРК (Статус-доклад 2023): 2021 PoC; 2022 тест в ограниченном контуре (200 ФЛ и 4 ТСП); 2023 интеграция и ОПЭ; 2024 целевая архитектура, не менее 10 БВУ; 2025 промышленная эксплуатация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Статус-доклад от 18.09.2023, с. 12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2023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Ф-044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 с 2020 г. (объявление исследовательского проекта в ноябре 2020 г.); публичный доклад «Цифровой тенге» опубликован 5 мая 2021 г., обсуждение 12 мая 2021 г. (более 150 участников); решение о запуске планировалось принять в конце 2022 г.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НБРК, Ответы на вопросы (май 2021); ЧаВо (апрель 2022)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2021–2022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Ф-046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Опрос 3 000 потребителей по всем регионам РК: около 60% выразили готовность использовать ЦТ; важнее всего повсеместность приёма, защита от мошенничества и кражи, отсутствие комиссий; мужчины и более состоятельные чаще заинтересованы, старше 50 лет — реже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НБРК, White Paper 2022, с. 54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2022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Ф-048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 оптимальном сценарии (без начисления процентов) спрос на ЦТ составит от 5,7% до 6,2% ВВП в долгосрочной перспективе; взаимозаменяемость ЦТ и средств на текущих счетах — 0,609; риски перетока средств контролируемы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НБРК, White Paper 2022, с. 58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2022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Ф-049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Оценка велась двумя DSGE-моделями (среднемасштабное динамическое стохастическое общее равновесие) с эластичностью спроса на ЦТ, оценённой по данным собственного опроса (в других странах используют косвенные параметры)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НБРК, White Paper 2022, с. 53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2022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Ф-052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Итоговая оценка White Paper 2022: необходимость внедрения признана; рекомендовано поэтапное внедрение за три года, реальные расчёты с 2023 г., промышленная эксплуатация до конца 2025 г.; за время проекта проведено более 100 встреч с рынком, экспертами и регуляторами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НБРК, White Paper 2022, с. 5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2022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Ф-053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Хронология публикаций НБРК: апрель–май 2021 — доклад для публичных обсуждений (5 мая) и ответы на вопросы (12 мая); декабрь 2021 — доклад о результатах исследования; июль 2022 (1 июля) — Модель принятия решения; октябрь 2022 — пилот с реальными потребителями и ТСП; 15 декабря 2022 — White Paper 2022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НБРК, White Paper 2022, с. 6; Статус-доклад 2023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2021–2022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Ф-054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Постановление Правления НБРК от 29 апреля 2026 г. № 42 «Об утверждении Правил выпуска, обращения и погашения цифровых тенге» введено в действие с 19 июля 2026 г.; правила регулируют открытие цифровых счетов, требования к информационной безопасности платформы, порядок транзакций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Uchet.kz; prg.kz; nationalbank.kz (текст постановления)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Ф-056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Постановление Правления НБРК от 10 апреля 2026 г. утвердило Правила выпуска, размещения, обращения и погашения цифровых финансовых активов, базовым активом которых выступают деньги (стейблкоины)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Inform.kz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Ф-061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 создана в сентябре 2023 г. при реорганизации Казахстанского центра межбанковских расчётов; АО «Центр развития платёжных и финансовых технологий» НБРК (2021–2023 гг.) возглавлял Б.Жаленов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BES.media; Informburo.kz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2023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Ф-062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 присоединился к инициативе БМР mBridge как государство-наблюдатель (сообщение НПК от 25 августа 2024 г., Central Banking; Ledger Insights: наблюдателем наряду с 22 другими центробанками, не участником)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Central Banking; Ledger Insights; сообщение НБРК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2024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Ф-063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Июль 2024 г. (визит Си Цзиньпина в Казахстан): меморандум НБРК и Народного банка Китая о сотрудничестве в области цифровых валют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Bizmedia.kz, 09.07.2024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2024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Ф-073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Народный банк Китая: с 1 января 2026 г. банкам разрешено начислять проценты на остатки e-CNY в верифицированных кошельках, e-CNY переходит от «цифровых наличных» к «цифровым депозитным деньгам»; к концу ноября 2025 г. проведено 3,48 млрд транзакций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24.kg (со ссылкой на Bloomberg); The Block; BeInCrypto, декабрь 2025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2025–2026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Ф-074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Россия: закон о цифровом рубле (ФЗ № 339-ФЗ от 24.07.2023); массовое внедрение с 1 сентября 2026 г.: операции обязаны обеспечить 12 системно значимых банков (более 80% платёжного рынка) и торговые организации с выручкой свыше 120 млн рублей; следующие группы — с 1 сентября 2027 и 2028 гг.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Статус-доклад 2023; kod.ru, 19.08.2026; profile.ru; habr.com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Ф-078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Тарифы платформы цифрового тенге (без НДС, с 06.09.2026): 135 тенге за обработку одного электронного платёжного документа (с маркировкой или смарт-контрактом и без них) и за создание одного смарт-контракта; бесплатно — снятие маркировки, перевод при смене участника, выписка, выпуск и погашение, открытие и закрытие счёта, управление статусами счёта, безакцептное списание, перенос ключей; минимум 20 000 тенге в месяц с каждого участника; государственным уполномоченным органам безвозмездно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сайт, страница «Тарифы» (цифровой теңге), октябрь 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Ф-079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Переходный тариф до 06.09.2026 — 100 тенге в месяц (без НДС); хранение пары криптографических ключей в HSM — 5 000 тенге в год (бесплатно для госорганов и физических лиц); тарифы НПК на 2026 г. утверждены решением Совета директоров АО «НПК» № 48 от 06.08.2026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сайт, страница «Тарифы» (цифровой теңге), октябрь 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Ф-080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Страница проекта на сайте НПК: пилот «цифровые ваучеры» (2023) — в одной из школ г. Алматы с акиматом и «Казпочтой»; «первые в мире» банковские карты с привязкой к цифровому счёту (Visa, Mastercard, 4 БВУ); пилот 2021 г. стартовал в июне; Digital Tenge Hub запущен в июне 2022 г.; за период эксплуатации «выпущено 336,6 млрд цифровых тенге и проведено свыше тысячи транзакций»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сайт, страница «Цифровой теңге», октябрь 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Ф-081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Банки-участники проекта на 27 октября 2026 г.: Народный банк Казахстана, Банк Развития Казахстана, Коммерческий Банк БиЭнКей, Forte Bank, Bank RBK, Евразийский Банк, Банк ЦентрКредит, Alatau City Bank, Казпочта (девять)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сайт, страница «Участники», 27.10.2026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Ф-084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Правила НБРК № 42 (зарегистрированы в Минюсте 30.04.2026 под № 38625; действуют с 19.07.2026): у пользователя не более одного цифрового счёта; сберегательный режим (начисление процентов) не предусмотрен; цифровые тенге можно хранить на внешних электронных носителях (офлайн); смарт-контракт между физическими лицами исполняется не дольше 10 рабочих дней и обязан предусматривать возврат средств при неисполнении; участник, прекращающий деятельность, уведомляет владельцев счетов за 30 календарных дней, владелец за 10 рабочих дней подаёт заявление другому участнику, ключи переносятся; участники ежеквартально сообщают оператору число пользователей и остатки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Текст постановления НБРК № 42 от 29.04.2026 (копия на zakon.mybuh.kz, 29.05.2026)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Ф-085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Приказ Минфина от 08.06.2026 № 375 (согласован с НБРК): пилот применения цифрового тенге при исполнении республиканского и местных бюджетов; условие — платёж свыше 100 млн тенге по перечню статей (лекарства и медизделия, топливо и ГСМ, вещевое имущество, транспорт, строительство и реконструкция, дороги, часть бюджетных кредитов, гранты на коммерциализацию науки, средства Специального госфонда); каждому платежу присваивается сквозной идентификатор расхода; пилот до 31.12.2026, старт 27.06.2026 (в части источников — 26.06)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Zakon.kz, 17.06.2026; Uchet.kz, 17.06.2026; Kapital.kz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Ф-086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Пилот «цифровой НДС в госзакупках» (приказ Минфина от 22.01.2026 № 38): со 02.02.2026 по 31.12.2026, участие добровольное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CDB.kz (новости), 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Ф-087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Перечень расходов бюджета в форме цифрового теңге утверждён постановлением Правительства РК от 23.10.2026 и вступил в силу 30.10.2026; номер постановления в открытых публикациях не приводится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Zakon.kz, 30.10.2026; BES.media, 30.10.2026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Ф-088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Цели Нацбанка: в июне 2026 г. (Сенат) Т.Сулейменов назвал выпуск порядка 340 млрд тенге и намерение довести оборот до 1 трлн; 11.09.2026 (Central Asia Fintech Summit) заявил о намерении довести охват цифрового тенге до 2 трлн в течение ближайших 12 месяцев; значение слова «охват» (накопленный выпуск или объём платежей через платформу) в публикациях не уточнено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Kapital.kz, 2026; BES.media, 11.09.2026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Ф-089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Минфин на правительственном совещании (24.07.2026): в обращении 340 млрд цифровых тенге, 20 реализованных пилотных проектов, 10 в работе и 50 готовятся к запуску; до конца года планируется около 100 проектов; названный барьер — субподрядчики не обязаны работать через смарт-контракты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Profit.kz, 24.07.2026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Ф-090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 и Народный банк Китая договорились о запуске пилота расчётов в цифровом тенге и цифровом юане (публикация от 04.08.2026); сведений о реальных, не тестовых платежах не найдено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Kapital.kz, 04.08.2026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Ф-094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Сайт Антифрод-центра для граждан (новость НПК от 27.10.2026): более 260 участников, более 200 тыс. инцидентов, предотвращённый ущерб на 01.10.2026 — 126,7 млрд тенге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сайт, новости, 27.10.2026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Ф-096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Совещание у Премьер-министра 11.07.2025: поручено перевести в формат цифрового тенге не менее 100 крупных проектов, финансируемых из Нацфонда и бюджета; названы 257,5 млрд выпущенных цифровых тенге и сокращение срока возврата НДС с 75 до 5 рабочих дней (заявление участников совещания)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Kapital.kz, 11.07.2025; Tengrinews, 11.07.2025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Ф-097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Проекты Нацфонда в цифровом тенге: вторые железнодорожные пути «Достык — Мойынты» и магистральный газопровод «Талдыкорган — Ушарал» (302,4 км, 66 населённых пунктов)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Kapital.kz, 11.07.2025; Forbes.kz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Ф-098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30.03.2026 Нацбанк предупредил о рекламе якобы «государственного инвестиционного проекта цифрового тенге» (фишинг); регулятор подчеркнул, что цифровой тенге не инвестиционный инструмент и не предназначен для получения прибыли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Zakon.kz, 30.03.2026; Kursiv.media, 30.03.2026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Ф-099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Блог МВФ (18.06.2024): среди стран Ближнего Востока и Центральной Азии Казахстан назван наиболее продвинутым по цифровой валюте после двух пилотных программ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МВФ, блог, 18.06.2024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2024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Ф-100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31.10.2024 Банк международных расчётов объявил о выходе из проекта mBridge и передаче его центральным банкам Китая, Гонконга, Таиланда, ОАЭ и Саудовской Аравии; у проекта было 31 наблюдатель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Central Banking, 2024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2024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Ф-101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Цифровой рубль, первые недели массового внедрения: за 10 дней открыто 87 тыс. счетов и проведено более 50 тыс. операций (Э.Набиуллина, 11.09.2026); за первый месяц открыто более 220 тыс. счетов (З.Кахруманова, 06.10.2026)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Интерфакс, 11.09.2026; «Российская газета», 06.10.2026 (по поиску; адреса публикаций не сохранены, при следующей сверке указать)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Ф-102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Итоговый доклад НПК за 2025 год: за период опытно-промышленной эксплуатации выпущено 336,6 млрд цифровых тенге, открыто 265 цифровых счетов (данные на конец 2025 г.)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Итоговый доклад 2025 (11.03.2026), с. 9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Ф-103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Для граждан использование цифрового тенге добровольно: обязанности закон не устанавливает; обязательность введена только для части государственных расходов (по материалу юридического издания)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Zakon.kz, 15.07.2026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Ф-104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 (ответы участникам обсуждения, май 2021): в распределённом реестре цифрового тенге эмиссия обеспечивается централизованно, участники реестра авторизуются централизованным решением; Нацбанк предоставляет инфраструктуру, а конечные платёжные сервисы оказывают банки и другие участники рынка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НБРК, Ответы на вопросы участников обсуждения доклада, май 2021, с. 6, 17, 19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2021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Ф-105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Платформа цифрового тенге построена на технологии распределённых реестров Corda (R3); платформа выбрана, в том числе, по причинам безопасности и приватности: она позволяет управлять анонимностью, конфиденциальностью и отслеживаемостью транзакций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Статус-доклад, сентябрь 2023, раздел «Часто задаваемые вопросы»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2023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Ф-106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Нотариальная нода платформы проверяет, что токен не использован дважды (модель непотраченных выходов, UTXO), но не видит содержимого транзакции; нода-оракул сообщает смарт-контрактам информацию извне и сама источником данных не служит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Итоговый доклад 2025, раздел о платформе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Ф-107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Приватность в разных сценариях: в розничном кошельке пользователь может скрывать данные от других участников (кроме банка, открывшего кошелёк); для маркированных государственных средств информация о транзакциях передаётся на ноду инициатора маркировки для отслеживаемости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НБРК, White Paper 2022; НПК, Итоговый доклад 2025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Ф-108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Оценка рисков в White Paper 2022: на рынке нет готового решения, полностью отвечающего свойствам цифрового тенге и работающего в продуктивной ЦВЦБ другой страны; выбор вендорской платформы создаёт зависимость от поставщика; закрытые тесты показали допустимую производительность, но требуют проверки в условиях, близких к реальным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НБРК, White Paper 2022, с. 46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2022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Ф-109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 (ответы участникам обсуждения, май 2021): проценты на остатки в цифровых тенге не начисляются, потому что при начислении возник бы риск «цифрового бегства» — перетока средств с банковских счетов в цифровую валюту; в критических сценариях цифровая валюта центрального банка может оказаться менее рискованным инструментом, чем банковские депозиты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НБРК, Ответы на вопросы участников обсуждения доклада, май 2021, с. 21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2021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Ф-110</w:t>
            </w:r>
          </w:p>
        </w:tc>
        <w:tc>
          <w:tcPr>
            <w:tcW w:type="dxa" w:w="35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 (ответы участникам обсуждения, май 2021): причины интереса центральных банков к цифровым валютам — ускоренное развитие небанковских платёжных платформ, возможные риски влияния частных проектов на денежный суверенитет и необходимость цифровизации платёжных инструментов на фоне пандемии; цель проекта — развитие и модернизация национальной платёжной системы</w:t>
            </w:r>
          </w:p>
        </w:tc>
        <w:tc>
          <w:tcPr>
            <w:tcW w:type="dxa" w:w="24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НБРК, Ответы на вопросы участников обсуждения доклада, май 2021, с. 7–8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2021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</w:tbl>
    <w:bookmarkEnd w:id="92"/>
    <w:bookmarkStart w:id="93" w:name="словарь-терминов"/>
    <w:p>
      <w:pPr>
        <w:pStyle w:val="Heading1"/>
        <w:pageBreakBefore/>
      </w:pPr>
      <w:r>
        <w:t xml:space="preserve">Словарь терминов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8EA0C0"/>
          <w:left w:val="single" w:sz="4" w:space="0" w:color="8EA0C0"/>
          <w:bottom w:val="single" w:sz="4" w:space="0" w:color="8EA0C0"/>
          <w:right w:val="single" w:sz="4" w:space="0" w:color="8EA0C0"/>
          <w:insideH w:val="single" w:sz="4" w:space="0" w:color="8EA0C0"/>
          <w:insideV w:val="single" w:sz="4" w:space="0" w:color="8EA0C0"/>
        </w:tblBorders>
        <w:tblCellMar>
          <w:top w:w="50" w:type="dxa"/>
          <w:left w:w="90" w:type="dxa"/>
          <w:bottom w:w="50" w:type="dxa"/>
          <w:right w:w="90" w:type="dxa"/>
        </w:tblCellMar>
        <w:tblW w:w="9412" w:type="dxa"/>
        <w:tblLayout w:type="fixed"/>
      </w:tblPr>
      <w:tblGrid>
        <w:gridCol w:w="2586"/>
        <w:gridCol w:w="6826"/>
      </w:tblGrid>
      <w:tr>
        <w:trPr>
          <w:tblHeader w:val="true"/>
          <w:cantSplit/>
          <w:tblHeader/>
        </w:trPr>
        <w:tc>
          <w:tcPr>
            <w:tcW w:type="dxa" w:w="2586"/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Термин</w:t>
            </w:r>
          </w:p>
        </w:tc>
        <w:tc>
          <w:tcPr>
            <w:tcW w:type="dxa" w:w="6826"/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Значение и происхождение</w:t>
            </w:r>
          </w:p>
        </w:tc>
      </w:tr>
      <w:tr>
        <w:trPr>
          <w:cantSplit/>
        </w:trPr>
        <w:tc>
          <w:tcPr>
            <w:tcW w:type="dxa" w:w="25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тенге, деньги</w:t>
            </w:r>
          </w:p>
        </w:tc>
        <w:tc>
          <w:tcPr>
            <w:tcW w:type="dxa" w:w="68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Название тюркского корня. По Фасмеру, от того же тюркского täŋkä («монета, деньги») происходит русское «деньги». Цифровой тенге — не новая единица, а новая форма прежней.</w:t>
            </w:r>
          </w:p>
        </w:tc>
      </w:tr>
      <w:tr>
        <w:trPr>
          <w:cantSplit/>
        </w:trPr>
        <w:tc>
          <w:tcPr>
            <w:tcW w:type="dxa" w:w="25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фиатные деньги</w:t>
            </w:r>
          </w:p>
        </w:tc>
        <w:tc>
          <w:tcPr>
            <w:tcW w:type="dxa" w:w="68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Деньги, держащиеся на законе и доверии, а не на металле. От латинского fiat — «пусть будет».</w:t>
            </w:r>
          </w:p>
        </w:tc>
      </w:tr>
      <w:tr>
        <w:trPr>
          <w:cantSplit/>
        </w:trPr>
        <w:tc>
          <w:tcPr>
            <w:tcW w:type="dxa" w:w="25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цифровая валюта центрального банка (ЦВЦБ, CBDC)</w:t>
            </w:r>
          </w:p>
        </w:tc>
        <w:tc>
          <w:tcPr>
            <w:tcW w:type="dxa" w:w="68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Цифровая форма национальной валюты, выпускаемая центральным банком. Цифровой тенге — именно такая валюта. Слово «цифровой» восходит через латинское cifra к арабскому ṣifr, «пустота, ноль».</w:t>
            </w:r>
          </w:p>
        </w:tc>
      </w:tr>
      <w:tr>
        <w:trPr>
          <w:cantSplit/>
        </w:trPr>
        <w:tc>
          <w:tcPr>
            <w:tcW w:type="dxa" w:w="25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токен</w:t>
            </w:r>
          </w:p>
        </w:tc>
        <w:tc>
          <w:tcPr>
            <w:tcW w:type="dxa" w:w="68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Цифровой «жетон»: запись, несущая сумму и подтверждаемая криптографически. Слово от древнеанглийского tācen — «знак, примета».</w:t>
            </w:r>
          </w:p>
        </w:tc>
      </w:tr>
      <w:tr>
        <w:trPr>
          <w:cantSplit/>
        </w:trPr>
        <w:tc>
          <w:tcPr>
            <w:tcW w:type="dxa" w:w="25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двухуровневая модель</w:t>
            </w:r>
          </w:p>
        </w:tc>
        <w:tc>
          <w:tcPr>
            <w:tcW w:type="dxa" w:w="68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Нацбанк выпускает и погашает деньги, банки обслуживают клиентов. Нацбанк не конкурирует с банками.</w:t>
            </w:r>
          </w:p>
        </w:tc>
      </w:tr>
      <w:tr>
        <w:trPr>
          <w:cantSplit/>
        </w:trPr>
        <w:tc>
          <w:tcPr>
            <w:tcW w:type="dxa" w:w="25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нотариальная нода</w:t>
            </w:r>
          </w:p>
        </w:tc>
        <w:tc>
          <w:tcPr>
            <w:tcW w:type="dxa" w:w="68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Узел сети, который проверяет, что токен не потрачен дважды, но не видит, кто и кому платит. Название — из юриспруденции.</w:t>
            </w:r>
          </w:p>
        </w:tc>
      </w:tr>
      <w:tr>
        <w:trPr>
          <w:cantSplit/>
        </w:trPr>
        <w:tc>
          <w:tcPr>
            <w:tcW w:type="dxa" w:w="25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оракул</w:t>
            </w:r>
          </w:p>
        </w:tc>
        <w:tc>
          <w:tcPr>
            <w:tcW w:type="dxa" w:w="68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Служба, сообщающая смарт-контракту факты из внешнего мира. От латинского oraculum — «прорицалище», от orare, «говорить, молить». Сам оракул источником данных не служит.</w:t>
            </w:r>
          </w:p>
        </w:tc>
      </w:tr>
      <w:tr>
        <w:trPr>
          <w:cantSplit/>
        </w:trPr>
        <w:tc>
          <w:tcPr>
            <w:tcW w:type="dxa" w:w="25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смарт-контракт</w:t>
            </w:r>
          </w:p>
        </w:tc>
        <w:tc>
          <w:tcPr>
            <w:tcW w:type="dxa" w:w="68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Программа, которая исполняет условия сама. Не договор в юридическом смысле: силу ему придают закон и соглашение сторон.</w:t>
            </w:r>
          </w:p>
        </w:tc>
      </w:tr>
      <w:tr>
        <w:trPr>
          <w:cantSplit/>
        </w:trPr>
        <w:tc>
          <w:tcPr>
            <w:tcW w:type="dxa" w:w="25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маркировка</w:t>
            </w:r>
          </w:p>
        </w:tc>
        <w:tc>
          <w:tcPr>
            <w:tcW w:type="dxa" w:w="68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Присвоение токену знаков, по которым видно его назначение. От немецкого markieren и французского marque.</w:t>
            </w:r>
          </w:p>
        </w:tc>
      </w:tr>
      <w:tr>
        <w:trPr>
          <w:cantSplit/>
        </w:trPr>
        <w:tc>
          <w:tcPr>
            <w:tcW w:type="dxa" w:w="25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холдирование</w:t>
            </w:r>
          </w:p>
        </w:tc>
        <w:tc>
          <w:tcPr>
            <w:tcW w:type="dxa" w:w="68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Блокировка денег до наступления подтверждённого события. От английского hold — «держать».</w:t>
            </w:r>
          </w:p>
        </w:tc>
      </w:tr>
      <w:tr>
        <w:trPr>
          <w:cantSplit/>
        </w:trPr>
        <w:tc>
          <w:tcPr>
            <w:tcW w:type="dxa" w:w="25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программируемость</w:t>
            </w:r>
          </w:p>
        </w:tc>
        <w:tc>
          <w:tcPr>
            <w:tcW w:type="dxa" w:w="68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Возможность «вшить» в деньги условия их использования: кому, на что и когда их можно потратить.</w:t>
            </w:r>
          </w:p>
        </w:tc>
      </w:tr>
      <w:tr>
        <w:trPr>
          <w:cantSplit/>
        </w:trPr>
        <w:tc>
          <w:tcPr>
            <w:tcW w:type="dxa" w:w="25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двойная трата</w:t>
            </w:r>
          </w:p>
        </w:tc>
        <w:tc>
          <w:tcPr>
            <w:tcW w:type="dxa" w:w="68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Попытка потратить один и тот же токен дважды. Файл можно скопировать, деньги нельзя, поэтому система обязана это пресекать.</w:t>
            </w:r>
          </w:p>
        </w:tc>
      </w:tr>
      <w:tr>
        <w:trPr>
          <w:cantSplit/>
        </w:trPr>
        <w:tc>
          <w:tcPr>
            <w:tcW w:type="dxa" w:w="25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цифровое бегство</w:t>
            </w:r>
          </w:p>
        </w:tc>
        <w:tc>
          <w:tcPr>
            <w:tcW w:type="dxa" w:w="68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Массовый перевод вкладов из банков в цифровую валюту центробанка, когда она надёжнее. По аналогии с bank run — «набегом на банк».</w:t>
            </w:r>
          </w:p>
        </w:tc>
      </w:tr>
      <w:tr>
        <w:trPr>
          <w:cantSplit/>
        </w:trPr>
        <w:tc>
          <w:tcPr>
            <w:tcW w:type="dxa" w:w="25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эмиссия</w:t>
            </w:r>
          </w:p>
        </w:tc>
        <w:tc>
          <w:tcPr>
            <w:tcW w:type="dxa" w:w="68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Выпуск денег. От латинского emissio — «выпуск, выпускание».</w:t>
            </w:r>
          </w:p>
        </w:tc>
      </w:tr>
      <w:tr>
        <w:trPr>
          <w:cantSplit/>
        </w:trPr>
        <w:tc>
          <w:tcPr>
            <w:tcW w:type="dxa" w:w="25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банк</w:t>
            </w:r>
          </w:p>
        </w:tc>
        <w:tc>
          <w:tcPr>
            <w:tcW w:type="dxa" w:w="68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От итальянского banco — «скамья, лавка менялы»: за такой скамьёй менялы вели расчёты.</w:t>
            </w:r>
          </w:p>
        </w:tc>
      </w:tr>
      <w:tr>
        <w:trPr>
          <w:cantSplit/>
        </w:trPr>
        <w:tc>
          <w:tcPr>
            <w:tcW w:type="dxa" w:w="25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электронные деньги</w:t>
            </w:r>
          </w:p>
        </w:tc>
        <w:tc>
          <w:tcPr>
            <w:tcW w:type="dxa" w:w="68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Обязательство компании-эмитента перед владельцем, привязанное к остатку на её счетах. До закона 2026 года цифровой тенге в пилотах формально проходил по этим правилам.</w:t>
            </w:r>
          </w:p>
        </w:tc>
      </w:tr>
      <w:tr>
        <w:trPr>
          <w:cantSplit/>
        </w:trPr>
        <w:tc>
          <w:tcPr>
            <w:tcW w:type="dxa" w:w="25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стейблкоин</w:t>
            </w:r>
          </w:p>
        </w:tc>
        <w:tc>
          <w:tcPr>
            <w:tcW w:type="dxa" w:w="68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От английского stable coin — «устойчивая монета»: актив, привязанный к валюте и обеспеченный резервом частного эмитента.</w:t>
            </w:r>
          </w:p>
        </w:tc>
      </w:tr>
      <w:tr>
        <w:trPr>
          <w:cantSplit/>
        </w:trPr>
        <w:tc>
          <w:tcPr>
            <w:tcW w:type="dxa" w:w="25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офлайн-платёж</w:t>
            </w:r>
          </w:p>
        </w:tc>
        <w:tc>
          <w:tcPr>
            <w:tcW w:type="dxa" w:w="68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Платёж без подключения к сети. Токены хранятся на устройстве, а сеть узнаёт о платеже, когда устройство снова подключится («отложенный онлайн»).</w:t>
            </w:r>
          </w:p>
        </w:tc>
      </w:tr>
      <w:tr>
        <w:trPr>
          <w:cantSplit/>
        </w:trPr>
        <w:tc>
          <w:tcPr>
            <w:tcW w:type="dxa" w:w="25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аппаратный модуль безопасности (HSM)</w:t>
            </w:r>
          </w:p>
        </w:tc>
        <w:tc>
          <w:tcPr>
            <w:tcW w:type="dxa" w:w="68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Специальное устройство для безопасного хранения криптографических ключей.</w:t>
            </w:r>
          </w:p>
        </w:tc>
      </w:tr>
      <w:tr>
        <w:trPr>
          <w:cantSplit/>
        </w:trPr>
        <w:tc>
          <w:tcPr>
            <w:tcW w:type="dxa" w:w="25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распределённый реестр</w:t>
            </w:r>
          </w:p>
        </w:tc>
        <w:tc>
          <w:tcPr>
            <w:tcW w:type="dxa" w:w="68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Книга записей, копии которой хранятся у нескольких участников и синхронизируются по правилам. Блокчейн — частный случай.</w:t>
            </w:r>
          </w:p>
        </w:tc>
      </w:tr>
    </w:tbl>
    <w:bookmarkEnd w:id="93"/>
    <w:bookmarkStart w:id="94" w:name="история-версий"/>
    <w:p>
      <w:pPr>
        <w:pStyle w:val="Heading1"/>
        <w:pageBreakBefore/>
      </w:pPr>
      <w:r>
        <w:t xml:space="preserve">История версий</w:t>
      </w:r>
    </w:p>
    <w:p>
      <w:pPr>
        <w:pStyle w:val="FirstParagraph"/>
      </w:pPr>
      <w:r>
        <w:rPr>
          <w:bCs/>
          <w:b/>
        </w:rPr>
        <w:t xml:space="preserve">Редакция 1.1 (2026-10-31).</w:t>
      </w:r>
      <w:r>
        <w:t xml:space="preserve"> </w:t>
      </w:r>
      <w:r>
        <w:t xml:space="preserve">Публичная (научно-популярная) редакция для the-tenge.kz</w:t>
      </w:r>
    </w:p>
    <w:p>
      <w:pPr>
        <w:numPr>
          <w:ilvl w:val="0"/>
          <w:numId w:val="1007"/>
        </w:numPr>
        <w:pStyle w:val="Compact"/>
      </w:pPr>
      <w:r>
        <w:t xml:space="preserve">Текст переписан для широкого читателя: плавные переходы, объяснение терминов, примеры.</w:t>
      </w:r>
    </w:p>
    <w:p>
      <w:pPr>
        <w:numPr>
          <w:ilvl w:val="0"/>
          <w:numId w:val="1007"/>
        </w:numPr>
        <w:pStyle w:val="Compact"/>
      </w:pPr>
      <w:r>
        <w:t xml:space="preserve">Добавлены интерактивные блоки: хронология, жизненный цикл токена, маркировка, цифровой НДС, калькулятор тарифов, графики, сценарии, поиск по реестру.</w:t>
      </w:r>
    </w:p>
    <w:p>
      <w:pPr>
        <w:numPr>
          <w:ilvl w:val="0"/>
          <w:numId w:val="1007"/>
        </w:numPr>
        <w:pStyle w:val="Compact"/>
      </w:pPr>
      <w:r>
        <w:t xml:space="preserve">Данные актуализированы: тарифы с 6 сентября 2026 года, девять банков-участников на 27 октября, цели Нацбанка (11 сентября), пилот Минфина, постановление Правительства от 23 октября, итоги Антифрод-центра на 1 октября.</w:t>
      </w:r>
    </w:p>
    <w:p>
      <w:pPr>
        <w:numPr>
          <w:ilvl w:val="0"/>
          <w:numId w:val="1007"/>
        </w:numPr>
        <w:pStyle w:val="Compact"/>
      </w:pPr>
      <w:r>
        <w:t xml:space="preserve">Из публичной редакции исключены факты, не подтверждённые двумя способами или противоречащие другим источникам оператора, а также числа, полученные распознаванием сканов.</w:t>
      </w:r>
    </w:p>
    <w:p>
      <w:pPr>
        <w:numPr>
          <w:ilvl w:val="0"/>
          <w:numId w:val="1007"/>
        </w:numPr>
        <w:pStyle w:val="Compact"/>
      </w:pPr>
      <w:r>
        <w:t xml:space="preserve">У каждого факта указан уровень достоверности: первичный документ, пересказ СМИ или расчёт редакции.</w:t>
      </w:r>
    </w:p>
    <w:p>
      <w:pPr>
        <w:pStyle w:val="FirstParagraph"/>
      </w:pPr>
      <w:r>
        <w:rPr>
          <w:bCs/>
          <w:b/>
        </w:rPr>
        <w:t xml:space="preserve">Редакция 1.0.1 (2026-10-31).</w:t>
      </w:r>
      <w:r>
        <w:t xml:space="preserve"> </w:t>
      </w:r>
      <w:r>
        <w:t xml:space="preserve">Корректирующая аналитическая редакция</w:t>
      </w:r>
    </w:p>
    <w:p>
      <w:pPr>
        <w:numPr>
          <w:ilvl w:val="0"/>
          <w:numId w:val="1008"/>
        </w:numPr>
        <w:pStyle w:val="Compact"/>
      </w:pPr>
      <w:r>
        <w:t xml:space="preserve">Поправки по данным сайта НПК: тарифы платформы, список банков-участников, роль заместителя председателя правления.</w:t>
      </w:r>
    </w:p>
    <w:p>
      <w:pPr>
        <w:numPr>
          <w:ilvl w:val="0"/>
          <w:numId w:val="1008"/>
        </w:numPr>
        <w:pStyle w:val="Compact"/>
      </w:pPr>
      <w:r>
        <w:t xml:space="preserve">Школьный пилот 2023 года уточнён: одна школа в Алматы.</w:t>
      </w:r>
    </w:p>
    <w:p>
      <w:pPr>
        <w:pStyle w:val="FirstParagraph"/>
      </w:pPr>
      <w:r>
        <w:rPr>
          <w:bCs/>
          <w:b/>
        </w:rPr>
        <w:t xml:space="preserve">Редакция 1.0 (2026-10-31).</w:t>
      </w:r>
      <w:r>
        <w:t xml:space="preserve"> </w:t>
      </w:r>
      <w:r>
        <w:t xml:space="preserve">Первая аналитическая редакция (шесть томов)</w:t>
      </w:r>
    </w:p>
    <w:p>
      <w:pPr>
        <w:numPr>
          <w:ilvl w:val="0"/>
          <w:numId w:val="1009"/>
        </w:numPr>
        <w:pStyle w:val="Compact"/>
      </w:pPr>
      <w:r>
        <w:t xml:space="preserve">Шесть томов: методология, право, технология, практика и экономика, мировой опыт, риски и сценарии.</w:t>
      </w:r>
    </w:p>
    <w:p>
      <w:pPr>
        <w:numPr>
          <w:ilvl w:val="0"/>
          <w:numId w:val="1009"/>
        </w:numPr>
        <w:pStyle w:val="Compact"/>
      </w:pPr>
      <w:r>
        <w:t xml:space="preserve">Реестры фактов, расхождений и белых пятен; проверка черновика ИИ.</w:t>
      </w:r>
    </w:p>
    <w:bookmarkEnd w:id="94"/>
    <w:bookmarkStart w:id="95" w:name="список-использованных-источников"/>
    <w:p>
      <w:pPr>
        <w:pStyle w:val="Heading1"/>
        <w:pageBreakBefore/>
      </w:pPr>
      <w:r>
        <w:t xml:space="preserve">Список использованных источников</w:t>
      </w:r>
    </w:p>
    <w:p>
      <w:pPr>
        <w:numPr>
          <w:ilvl w:val="0"/>
          <w:numId w:val="1010"/>
        </w:numPr>
        <w:pStyle w:val="Compact"/>
      </w:pPr>
      <w:r>
        <w:t xml:space="preserve">Цифровой тенге : раздел сайта и документы проекта // АО «Национальная платёжная корпорация» : офиц. сайт. – URL: https://npck.kz/tsifrovoj-tenge/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Цифровой тенге : документы проекта (доклад 2021 года, ответы на вопросы 2021 года, модель принятия решения, White Paper 2022 и 2023 годов, статус-доклад 2023 года) // АО «Национальная платёжная корпорация» : офиц. сайт. – URL: https://npck.kz/tsifrovoj-tenge/dt-documents/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Цифровой тенге : итоговый доклад 2025 / АО «Национальная платёжная корпорация». – 2026. – Март. – URL: https://npck.kz/wp-content/uploads/2026/03/DT_WP_2025_RUS_FINAL-2.pdf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Тарифы на услуги, оказываемые на Платформе цифрового теңге // АО «Национальная платёжная корпорация» : офиц. сайт. – URL: https://npck.kz/tarify-tst/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Участники проекта «Цифровой тенге» (по состоянию на 27 октября 2026 г.) // АО «Национальная платёжная корпорация» : офиц. сайт. – URL: https://npck.kz/tsifrovoj-tenge/uchastniki/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Аналитика; Новости и пресс-релизы // АО «Национальная платёжная корпорация» : офиц. сайт. – URL: https://npck.kz/category/media/analitika-ru/ ; https://npck.kz/category/media/news-ru/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Национальный Антифрод-центр подвёл итоги двух лет работы // АО «Национальная платёжная корпорация» : офиц. сайт. – 22.07.2026. – URL: https://npck.kz/natsionalnyj-antifrod-tsentr-podvel-itogi-dvuh-let-raboty/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Национальный Антифрод-центр Казахстана запустил информационный сайт для граждан // АО «Национальная платёжная корпорация» : офиц. сайт. – 27.10.2026. – URL: https://npck.kz/natsionalnyj-antifrod-tsentr-kazahstana-zapustil-informatsionnyj-sajt-dlya-grazhdan/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АО «НПК» подписало Меморандум о взаимопонимании с UnionPay International по развитию трансграничных платежей по QR-кодам // АО «Национальная платёжная корпорация» : офиц. сайт. – 22.06.2026. – URL: https://npck.kz/aktsionernoe-obshhestvo-natsionalnaya-platezhnaya-korporatsiya-natsionalnogo-banka-respubliki-kazahstan-podpisalo-memorandum-o-vzaimoponimanii-s-unionpay-international-po-razvitiyu-transgranichnyh-pla/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Участники МСМП // АО «Национальная платёжная корпорация» : офиц. сайт. – URL: https://npck.kz/open-banking-open-api/uchastniki-msmp/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Закон Республики Казахстан от 16 января 2026 года № 259-VIII «О внесении изменений и дополнений в некоторые законодательные акты Республики Казахстан по вопросам регулирования и развития финансового рынка, связи и банкротства». – Текст : электронный // Информационно-правовая система «Әділет». – URL: https://adilet.zan.kz/rus/docs/Z1600000011 (дата обращения: 31.10.2026).</w:t>
      </w:r>
    </w:p>
    <w:p>
      <w:pPr>
        <w:numPr>
          <w:ilvl w:val="0"/>
          <w:numId w:val="1010"/>
        </w:numPr>
        <w:pStyle w:val="Compact"/>
      </w:pPr>
      <w:r>
        <w:t xml:space="preserve">Новый закон «О банках и банковской деятельности» подписан Президентом // PRG.KZ. – 16.01.2026. – URL: https://prg.kz/document/?doc_id=39850923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С 18 июля цифровой тенге вводится в полномасштабное обращение // Zakon.kz. – 15.07.2026. – URL: https://www.zakon.kz/pravo/6524790-s-18-iyulya-tsifrovoy-tenge-vvoditsya-v-polnomasshtabnoe-obrashchenie.html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Об утверждении Правил выпуска, обращения и погашения цифровых тенге : постановление Правления Национального Банка Республики Казахстан от 29 апреля 2026 года № 42. – Текст : электронный // Национальный Банк Республики Казахстан : офиц. сайт. – URL: https://nationalbank.kz/file/download/126513 (дата обращения: 31.10.2026).</w:t>
      </w:r>
    </w:p>
    <w:p>
      <w:pPr>
        <w:numPr>
          <w:ilvl w:val="0"/>
          <w:numId w:val="1010"/>
        </w:numPr>
        <w:pStyle w:val="Compact"/>
      </w:pPr>
      <w:r>
        <w:t xml:space="preserve">Об утверждении Правил выпуска, обращения и погашения цифровых тенге : текст постановления № 42 (копия) // Zakon.mybuh.kz. – 29.05.2026. – URL: https://zakon.mybuh.kz/rus/docs/v2600038625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Нацбанк РК утвердил правила выпуска и обращения стейблкоинов // Inform.kz. – 2026. – URL: https://www.inform.kz/ru/natsbank-rk-utverdil-pravila-vipuska-iobrasheniya-steyblkoinov-c910e6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Пилотный проект по масштабированию цифрового тенге запустили в Казахстане // Zakon.kz. – 17.06.2026. – URL: https://www.zakon.kz/pravo/6521635-pilotnyy-proekt-po-masshtabirovaniyu-tsifrovogo-tenge-zapustili-v-kazakhstane.html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Пилотный проект «Цифрового тенге» использования в бюджете: запускают в Казахстане // Uchet.kz. – 17.06.2026. – URL: https://uchet.kz/news/pilotnyy-proekt-tsifrovogo-tenge-ispolzovaniya-v-byudzhete-zapuskayut-v-kazakhstane/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С 2 февраля 2026 года — пилотный проект по внедрению цифрового тенге с маркировкой НДС в госзакупках // CDB.kz. – 2026. – URL: https://cdb.kz/sistema/novosti/s_2_fevralya_2026_goda_pilotnyy_proekt_po_vnedreniyu_tsifrovogo_tenge_s_markirovkoy_nds_v_goszakupka/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Утверждён перечень расходов бюджета в форме цифрового тенге // Zakon.kz. – 30.10.2026. – URL: https://www.zakon.kz/pravo/6536853-utverzhden-perechen-raskhodov-byudzheta-v-forme-tsifrovogo-tege.html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В Казахстане утвердили список расходов бюджета в цифровом тенге // BES.media. – 30.10.2026. – URL: https://bes.media/news/v-kazahstane-utverdili-spisok-rashodov-byudzheta-v-tsifrovom-tenge/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Нацбанк планирует довести оборот цифрового тенге до 1 трлн в 2026 году // Vlast.kz. – 2026. – URL: https://vlast.kz/novosti/69810-nacbank-planiruet-dovesti-oborot-cifrovogo-tenge-do-1-trln-v-2026-godu.html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Охват цифрового тенге в Казахстане увеличат до 2 трлн за 12 месяцев // BES.media. – 11.09.2026. – URL: https://bes.media/news/ohvat-tsifrovogo-tenge-v-kazahstane-uvelichat-do-2-trln-za-12-mesyatsev/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Нацбанк намерен довести оборот цифрового тенге до 2 трлн // Kapital.kz. – 2026. – URL: https://kapital.kz/finance/152788/nacbank-nameren-dovesti-oborot-cifrovogo-tenge-do-2-trln.html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Цифровой тенге планируют масштабировать на 100 проектов до конца года // Profit.kz. – 24.07.2026. – URL: https://profit.kz/news/74312/Cifrovoj-tenge-planiruut-masshtabirovat-na-100-proektov-do-konca-goda/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Казахстан и Китай запустят пилот по расчётам в цифровых тенге и юанях // Kapital.kz. – 04.08.2026. – URL: https://kapital.kz/finance/151226/kazahstan-i-kitaj-zapustyat-pilot-po-raschetam-v-cifrovyh-tenge-i-yuanyah.html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Подписано соглашение о сотрудничестве в области цифровых валют между Нацбанком Казахстана и ЦБ Китая // Bizmedia.kz. – 09.07.2024. – URL: https://bizmedia.kz/2024-07-09-podpisano-soglashenie-sotrudnichestva-v-oblasti-czifrovyh-valyut-mezhdu-naczbankom-kazahstana-i-czb-kitaya/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Премьер поручил ускоренно внедрить цифровой тенге в более 100 крупных проектах // Tengrinews.kz. – 11.07.2025. – URL: https://tengrinews.kz/kazakhstan_news/premer-poruchil-uskorenno-vnedrit-tsifrovoy-tenge-bolee-100-575094/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В формат «цифрового тенге» переведут 100 крупных проектов, финансируемых из Нацфонда и бюджета // Kapital.kz. – 11.07.2025. – URL: https://kapital.kz/finance/138709/v-format-cifrovogo-tenge-perevedut-100-krupnyh-proektov-finansiruemyh-iz-nacfonda-i-byudzheta.html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На магистральный газопровод «Талдыкорган — Ушарал» выделили средства из Нацфонда // Forbes.kz. – URL: https://forbes.kz/articles/namagistralnyy-gazoprovod-taldykorgan-usharal-vydelili-sredstva-iznatsfonda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Нацбанк сделал важное предупреждение о мошенниках с цифровым тенге // Zakon.kz. – 30.03.2026. – URL: https://www.zakon.kz/obshestvo/6512717-natsbank-sdelal-vazhnoe-preduprezhdenie-o-moshennikakh-s-tsifrovym-tenge.html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От цифровой платформы к реальному бизнесу: Bank RBK запустил кредитование в цифровых тенге // Time.kz. – 21.10.2026. – URL: https://www.time.kz/articles/va-bank/2026/10/21/ot-tsifrovoj-platformy-k-realnomu-biznesu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Операции с цифровым тенге стали доступны в ForteBusiness // Zakon.kz. – 29.10.2026. – URL: https://www.zakon.kz/ekonomika-biznes/6536754-operatsii-s-tsifrovym-tenge-stali-dostupny-v-ForteBusiness.html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Central Bank Digital Currencies Can Boost Middle East’s Financial Inclusion, Payment Efficiency // International Monetary Fund. – 18.06.2024. – URL: https://www.imf.org/en/Blogs/Articles/2024/06/18/central-bank-digital-currencies-can-boost-middle-easts-financial-inclusion-payment-efficiency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BIS to hand over Project mBridge to central banks // Central Banking. – 2024. – URL: https://www.centralbanking.com/fintech/cbdc/7962626/bis-to-hand-over-project-mbridge-to-central-banks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Kazakhstan joins mBridge project // Central Banking. – 2024. – URL: https://www.centralbanking.com/fintech/cbdc/7959622/kazakhstan-joins-mbridge-project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Китай стал первой страной, которая платит проценты на цифровой юань (e-CNY) // 24.kg. – URL: https://24.kg/ekonomika/356928_kitay_stal_pervoy_stranoy_kotoraya_platit_protsentyi_natsifrovoy_yuan_e-CNY/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China to let banks pay interest on digital yuan to drive adoption // The Block. – 2025. – URL: https://www.theblock.co/post/383824/china-interest-digital-yuan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Цифровой рубль: запуск 1 сентября // Kod.ru. – 19.08.2026. – URL: https://kod.ru/tsifrovoy-rubl-zapusk-1-sentyabrya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Массовое внедрение цифрового рубля в России начнётся 1 сентября: что изменится для обычных граждан // Profile.ru. – URL: https://profile.ru/news/economy/massovoe-vnedrenie-cifrovogo-rublya-v-rossii-nachnetsya-1-sentyabrya-chto-izmenitsya-dlya-rossiyan-1892561/ (дата обращения: 31.10.2026). – Текст : электронный.</w:t>
      </w:r>
    </w:p>
    <w:p>
      <w:pPr>
        <w:numPr>
          <w:ilvl w:val="0"/>
          <w:numId w:val="1010"/>
        </w:numPr>
        <w:pStyle w:val="Compact"/>
      </w:pPr>
      <w:r>
        <w:t xml:space="preserve">Цифровой рубль: этапы внедрения и условия использования для граждан и бизнеса // Ведомости. – 29.09.2026. – URL: https://www.vedomosti.ru/press_releases/2026/09/29/tsifrovoi-rubl-etapi-vnedreniya-i-usloviya-ispolzovaniya-dlya-grazhdan-i-biznesa (дата обращения: 31.10.2026). – Текст : электронный.</w:t>
      </w:r>
    </w:p>
    <w:bookmarkEnd w:id="95"/>
    <w:sectPr>
      <w:footerReference w:type="default" r:id="rId9"/>
      <w:pgSz w:h="16838" w:w="11906"/>
      <w:pgMar w:bottom="1247" w:left="1247" w:right="124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widowControl/>
      <w:spacing w:after="120" w:before="0" w:line="276" w:lineRule="auto"/>
      <w:jc w:val="both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20" w:before="0" w:line="276" w:lineRule="auto"/>
      <w:jc w:val="both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120"/>
      <w:jc w:val="left"/>
    </w:pPr>
    <w:rPr>
      <w:rFonts w:ascii="Arial" w:asciiTheme="majorHAnsi" w:cs="Arial" w:cstheme="majorBidi" w:eastAsia="Arial" w:eastAsiaTheme="majorEastAsia" w:hAnsi="Arial" w:hAnsiTheme="majorHAnsi"/>
      <w:b/>
      <w:bCs/>
      <w:color w:val="1F386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rFonts w:ascii="Arial" w:cs="Arial" w:eastAsia="Arial" w:hAnsi="Arial"/>
      <w:b w:val="0"/>
      <w:color w:val="2F5496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40" w:before="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1F3864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2F549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sz w:val="2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sz w:val="20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47" Type="http://schemas.openxmlformats.org/officeDocument/2006/relationships/image" Target="media/rId47.png"/><Relationship Id="rId32" Type="http://schemas.openxmlformats.org/officeDocument/2006/relationships/image" Target="media/rId32.png"/><Relationship Id="rId82" Type="http://schemas.openxmlformats.org/officeDocument/2006/relationships/image" Target="media/rId82.png"/><Relationship Id="rId75" Type="http://schemas.openxmlformats.org/officeDocument/2006/relationships/image" Target="media/rId75.png"/><Relationship Id="rId50" Type="http://schemas.openxmlformats.org/officeDocument/2006/relationships/image" Target="media/rId50.png"/><Relationship Id="rId61" Type="http://schemas.openxmlformats.org/officeDocument/2006/relationships/image" Target="media/rId6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Третья форма тенге: как Казахстан учит деньги выполнять условия</dc:title>
  <dc:creator>Редакция The Tenge</dc:creator>
  <cp:keywords/>
  <dcterms:created xsi:type="dcterms:W3CDTF">2026-10-31T11:10:48Z</dcterms:created>
  <dcterms:modified xsi:type="dcterms:W3CDTF">2026-10-31T11:10:48Z</dcterms:modified>
  <cp:lastModifiedBy>Редакция The Tenge</cp:lastModifiedBy>
  <dc:subject>Цифровой тенге, научно-популярный разбор</dc:subject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