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7"/>
        <w:gridCol w:w="795"/>
        <w:gridCol w:w="1403"/>
        <w:gridCol w:w="1324"/>
        <w:gridCol w:w="960"/>
        <w:gridCol w:w="1056"/>
        <w:gridCol w:w="947"/>
        <w:gridCol w:w="1296"/>
        <w:gridCol w:w="902"/>
        <w:tblGridChange w:id="0">
          <w:tblGrid>
            <w:gridCol w:w="667"/>
            <w:gridCol w:w="795"/>
            <w:gridCol w:w="1403"/>
            <w:gridCol w:w="1324"/>
            <w:gridCol w:w="960"/>
            <w:gridCol w:w="1056"/>
            <w:gridCol w:w="947"/>
            <w:gridCol w:w="1296"/>
            <w:gridCol w:w="9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Risk Description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Likelihood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Mitigation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ID values may be useful to refer back to in your final documentation. Number these in order. This register should be included in the 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Risk description provides an outline of the issue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Please use </w:t>
      </w:r>
      <w:r w:rsidDel="00000000" w:rsidR="00000000" w:rsidRPr="00000000">
        <w:rPr>
          <w:rFonts w:ascii="Calibri" w:cs="Calibri" w:eastAsia="Calibri" w:hAnsi="Calibri"/>
          <w:color w:val="000000"/>
          <w:highlight w:val="green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highlight w:val="yellow"/>
          <w:rtl w:val="0"/>
        </w:rPr>
        <w:t xml:space="preserve">Medium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color w:val="000000"/>
          <w:highlight w:val="red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to identify the risk level and colour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Typically the owner will be you, but it maybe the case in team work or other projects that have external clients, other activities may impact on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Mitigation implies on how you will manage the risk and to reduce the likelihood of it occurring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Status – has the risk event now passed. It should indicate an Open and Closed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04BE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A04BE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WkSayLI95y4Sg0EhfRI/Vqqzbg==">AMUW2mWlyWi9lAYcjF4qPPWbFigblh/pIXf2SZRZdZo6WDd4U7des2e3Fw175qy3+7IsjH9EraOVKSi4B6OC4aLHYikM/Sb5UMAEbgjkhCXLNd90GelLLvkFvumDmXZan25U04hca/Bu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2022-01-19T16:15:00Z</dcterms:created>
  <dc:creator>Admin</dc:creator>
</cp:coreProperties>
</file>