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 w:cs="Times New Roman"/>
          <w:b w:val="0"/>
          <w:i w:val="0"/>
          <w:color w:val="000000"/>
        </w:rPr>
        <w:t>Сравнение существующих систем смежного назначения</w:t>
      </w:r>
    </w:p>
    <w:p>
      <w:pPr/>
      <w:r>
        <w:rPr>
          <w:rFonts w:ascii="Times New Roman" w:hAnsi="Times New Roman" w:eastAsia="Times New Roman" w:cs="Times New Roman"/>
          <w:b/>
          <w:i w:val="0"/>
          <w:color w:val="000000"/>
        </w:rPr>
        <w:t>MedPredict — первая предварительная защита, 24 октября 2026 года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br/>
      </w:r>
      <w:r>
        <w:rPr>
          <w:rFonts w:ascii="Times New Roman" w:hAnsi="Times New Roman" w:eastAsia="Times New Roman" w:cs="Times New Roman"/>
          <w:b/>
          <w:i w:val="0"/>
          <w:color w:val="000000"/>
        </w:rPr>
        <w:t>Тема: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«Разработка интеллектуальной системы прогнозирования медицинских показателей на основе нейронных сетей»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br/>
      </w:r>
      <w:r>
        <w:rPr>
          <w:rFonts w:ascii="Times New Roman" w:hAnsi="Times New Roman" w:eastAsia="Times New Roman" w:cs="Times New Roman"/>
          <w:b/>
          <w:i w:val="0"/>
          <w:color w:val="000000"/>
        </w:rPr>
        <w:t>Дата анализа и обращения к источникам: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16 октября 2026 года.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br/>
      </w:r>
      <w:r>
        <w:rPr>
          <w:rFonts w:ascii="Times New Roman" w:hAnsi="Times New Roman" w:eastAsia="Times New Roman" w:cs="Times New Roman"/>
          <w:b/>
          <w:i w:val="0"/>
          <w:color w:val="000000"/>
        </w:rPr>
        <w:t>Статус: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документальное сравнение; экспериментальное сравнение качества систем не проводилось.</w:t>
      </w:r>
    </w:p>
    <w:p>
      <w:pPr>
        <w:pStyle w:val="Heading1"/>
      </w:pPr>
      <w:r>
        <w:t>Содержание</w:t>
      </w:r>
    </w:p>
    <w:p>
      <w:hyperlink w:anchor="section_001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1. Цель и метод сравнения</w:t>
        </w:r>
      </w:hyperlink>
    </w:p>
    <w:p>
      <w:hyperlink w:anchor="section_002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2. Исходное положение MedPredict</w:t>
        </w:r>
      </w:hyperlink>
    </w:p>
    <w:p>
      <w:hyperlink w:anchor="section_003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3. Единая матрица сравнения</w:t>
        </w:r>
      </w:hyperlink>
    </w:p>
    <w:p>
      <w:hyperlink w:anchor="section_004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4. Позиционирование MedPredict по тем же критериям</w:t>
        </w:r>
      </w:hyperlink>
    </w:p>
    <w:p>
      <w:hyperlink w:anchor="section_005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5. Выводы для требований и исследования</w:t>
        </w:r>
      </w:hyperlink>
    </w:p>
    <w:p>
      <w:hyperlink w:anchor="section_006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6. Реестр первичных источников</w:t>
        </w:r>
      </w:hyperlink>
    </w:p>
    <w:p>
      <w:hyperlink w:anchor="section_007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7. Ограничения проведённой проверки</w:t>
        </w:r>
      </w:hyperlink>
    </w:p>
    <w:p>
      <w:bookmarkStart w:id="1" w:name="section_001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1. Цель и метод сравнения</w:t>
      </w:r>
      <w:bookmarkEnd w:id="1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Цель анализа — определить полезные требования к учебному прототипу MedPredict и границы его сопоставления с действующими решениями. Выбраны четыре системы, представляющие три разных сценария: оценку медицинского риска, представление измеренных показателей и прогнозирование физиологического ряда. Использованы официальные страницы профессиональных организаций и производителей. Проверялись открытые описания, а не закрытая функциональность зарегистрированных пользователей.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Системы отобраны по наличию проверяемого первичного источника, количественного медицинского результата либо измерений и понятной связи с будущими модулями проекта. PREVENT и HeartScore релевантны представлению числового риска, OMRON connect — работе с давлением и динамикой измерений, Control-IQ — краткосрочному прогнозированию глюкозы. Они являются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системами смежного назначения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, а не четырьмя реализациями одной регрессионной задачи. В этой выборке не установлен действующий сервис, полностью совпадающий с целевой переменной scikit-learn Diabetes.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Применяются девять единых критериев. Для читаемости одна сравнительная матрица разделена на две таблицы с одинаковыми строками. «Не подтверждено» означает недостаточность проверенных источников; это не доказательство отсутствия функции. Оценки удобства, клинической эффективности и информационной безопасности без испытаний не присваиваются.</w:t>
      </w:r>
    </w:p>
    <w:p>
      <w:bookmarkStart w:id="2" w:name="section_002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2. Исходное положение MedPredict</w:t>
      </w:r>
      <w:bookmarkEnd w:id="2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В исследуемом репозитории реализован frontend на React, TypeScript и Vite. Доступны форма, состояния запроса, проверка ответов, RU/KK/EN и PDF-экспорт. Demo возвращает фиксированный пример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134,2 мм рт. ст.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независимо от введённых данных. Проверено по </w:t>
      </w:r>
      <w:hyperlink r:id="rId10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README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</w:t>
      </w:r>
      <w:hyperlink r:id="rId11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demo-адаптеру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</w:t>
      </w:r>
      <w:hyperlink r:id="rId12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описанию показателя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и </w:t>
      </w:r>
      <w:hyperlink r:id="rId13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панели результата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>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По сообщению команды Java/Spring Boot разрабатывается Оралханом; сервер, обученные модели, результаты обучения и сквозной запуск здесь не представлены. История и серверные действия аккаунта отключены. Наличие интерфейса не подтверждает готовность соответствующего сервиса. </w:t>
      </w:r>
      <w:hyperlink r:id="rId14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Контракт API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остаётся основанием для согласования, а не свидетельством работающего backend.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Предлагаемая исследовательская область включает три независимых модуля:</w:t>
      </w:r>
    </w:p>
    <w:p>
      <w:pPr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1.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Diabetes Progression: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оценка числовой целевой переменной scikit-learn Diabetes; это регрессия, а не постановка диагноза.</w:t>
      </w:r>
    </w:p>
    <w:p>
      <w:pPr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2.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Systolic Blood Pressure Estimation: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оценка САД по выбранным признакам NHANES в мм рт. ст.; без продольных наблюдений это не прогноз будущего давления.</w:t>
      </w:r>
    </w:p>
    <w:p>
      <w:pPr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3.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Glucose Forecasting: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исследование краткосрочного прогноза глюкозы на подходящем продольном наборе PhysioNet. Набор, горизонт и модель ещё не утверждены.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Все три модуля обозначают план исследования. Текущая демоформа САД не ограничивает официальную тему диплома и не является реализацией этих трёх модулей.</w:t>
      </w:r>
    </w:p>
    <w:p>
      <w:bookmarkStart w:id="3" w:name="section_003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3. Единая матрица сравнения</w:t>
      </w:r>
      <w:bookmarkEnd w:id="3"/>
    </w:p>
    <w:p>
      <w:pPr>
        <w:pStyle w:val="Caption"/>
        <w:keepNext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Таблица 1 — Калькуляторы риска; критерии 1–9.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2428"/>
        <w:gridCol w:w="3684"/>
        <w:gridCol w:w="3526"/>
      </w:tblGrid>
      <w:tr>
        <w:trPr>
          <w:cantSplit/>
          <w:tblHeader/>
        </w:trPr>
        <w:tc>
          <w:tcPr>
            <w:tcW w:type="dxa" w:w="2428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Критерий</w:t>
            </w:r>
          </w:p>
        </w:tc>
        <w:tc>
          <w:tcPr>
            <w:tcW w:type="dxa" w:w="3684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AHA PREVENT</w:t>
            </w:r>
          </w:p>
        </w:tc>
        <w:tc>
          <w:tcPr>
            <w:tcW w:type="dxa" w:w="3526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ESC HeartScore</w:t>
            </w:r>
          </w:p>
        </w:tc>
      </w:tr>
      <w:tr>
        <w:trPr>
          <w:cantSplit/>
        </w:trPr>
        <w:tc>
          <w:tcPr>
            <w:tcW w:type="dxa" w:w="242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1. Назначение и аудитория</w:t>
            </w:r>
          </w:p>
        </w:tc>
        <w:tc>
          <w:tcPr>
            <w:tcW w:type="dxa" w:w="368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Оценка сердечно-сосудистого риска; обсуждение первичной профилактики врачом и пациентом. </w:t>
            </w:r>
            <w:hyperlink r:id="rId15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С1</w:t>
              </w:r>
            </w:hyperlink>
          </w:p>
        </w:tc>
        <w:tc>
          <w:tcPr>
            <w:tcW w:type="dxa" w:w="352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Поддержка врача при оценке сердечно-сосудистого риска и его снижении. </w:t>
            </w:r>
            <w:hyperlink r:id="rId16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С2</w:t>
              </w:r>
            </w:hyperlink>
          </w:p>
        </w:tc>
      </w:tr>
      <w:tr>
        <w:trPr>
          <w:cantSplit/>
        </w:trPr>
        <w:tc>
          <w:tcPr>
            <w:tcW w:type="dxa" w:w="242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2. Входные данные и показатели</w:t>
            </w:r>
          </w:p>
        </w:tc>
        <w:tc>
          <w:tcPr>
            <w:tcW w:type="dxa" w:w="368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Сердечно-сосудистые, почечные и метаболические факторы; дополнительные UACR, HbA1c, SDI. </w:t>
            </w:r>
            <w:hyperlink r:id="rId15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С1</w:t>
              </w:r>
            </w:hyperlink>
          </w:p>
        </w:tc>
        <w:tc>
          <w:tcPr>
            <w:tcW w:type="dxa" w:w="352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Факторы SCORE2/SCORE2-OP; полный набор полей интерактивной формы при этой проверке недоступен. </w:t>
            </w:r>
            <w:hyperlink r:id="rId16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С2</w:t>
              </w:r>
            </w:hyperlink>
          </w:p>
        </w:tc>
      </w:tr>
      <w:tr>
        <w:trPr>
          <w:cantSplit/>
        </w:trPr>
        <w:tc>
          <w:tcPr>
            <w:tcW w:type="dxa" w:w="242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3. Результат и горизонт</w:t>
            </w:r>
          </w:p>
        </w:tc>
        <w:tc>
          <w:tcPr>
            <w:tcW w:type="dxa" w:w="368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Риск сердечно-сосудистого события на 10/30 лет в предусмотренных возрастных границах. </w:t>
            </w:r>
            <w:hyperlink r:id="rId15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С1</w:t>
              </w:r>
            </w:hyperlink>
          </w:p>
        </w:tc>
        <w:tc>
          <w:tcPr>
            <w:tcW w:type="dxa" w:w="352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10-летний риск фатальных и нефатальных сердечно-сосудистых событий. </w:t>
            </w:r>
            <w:hyperlink r:id="rId16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С2</w:t>
              </w:r>
            </w:hyperlink>
          </w:p>
        </w:tc>
      </w:tr>
      <w:tr>
        <w:trPr>
          <w:cantSplit/>
        </w:trPr>
        <w:tc>
          <w:tcPr>
            <w:tcW w:type="dxa" w:w="242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4. Прозрачность метода</w:t>
            </w:r>
          </w:p>
        </w:tc>
        <w:tc>
          <w:tcPr>
            <w:tcW w:type="dxa" w:w="368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Описаны уравнения; доступ к коду — через лицензионное соглашение AHA. </w:t>
            </w:r>
            <w:hyperlink r:id="rId15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С1</w:t>
              </w:r>
            </w:hyperlink>
          </w:p>
        </w:tc>
        <w:tc>
          <w:tcPr>
            <w:tcW w:type="dxa" w:w="352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Указаны SCORE2/SCORE2-OP и публикации разработки и валидации. </w:t>
            </w:r>
            <w:hyperlink r:id="rId16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С2</w:t>
              </w:r>
            </w:hyperlink>
          </w:p>
        </w:tc>
      </w:tr>
      <w:tr>
        <w:trPr>
          <w:cantSplit/>
        </w:trPr>
        <w:tc>
          <w:tcPr>
            <w:tcW w:type="dxa" w:w="242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5. Объяснение результата</w:t>
            </w:r>
          </w:p>
        </w:tc>
        <w:tc>
          <w:tcPr>
            <w:tcW w:type="dxa" w:w="368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Назначение — обсуждение риска и профилактики; индивидуальные объяснения признаков не проверялись. </w:t>
            </w:r>
            <w:hyperlink r:id="rId15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С1</w:t>
              </w:r>
            </w:hyperlink>
          </w:p>
        </w:tc>
        <w:tc>
          <w:tcPr>
            <w:tcW w:type="dxa" w:w="352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Есть оговорки применимости и необходимость клинического суждения. </w:t>
            </w:r>
            <w:hyperlink r:id="rId17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С4</w:t>
              </w:r>
            </w:hyperlink>
          </w:p>
        </w:tc>
      </w:tr>
      <w:tr>
        <w:trPr>
          <w:cantSplit/>
        </w:trPr>
        <w:tc>
          <w:tcPr>
            <w:tcW w:type="dxa" w:w="242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6. Доступ и удобство</w:t>
            </w:r>
          </w:p>
        </w:tc>
        <w:tc>
          <w:tcPr>
            <w:tcW w:type="dxa" w:w="368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Проверена открытая англоязычная страница; usability и доступность с assistive technologies не измерены. </w:t>
            </w:r>
            <w:hyperlink r:id="rId15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С1</w:t>
              </w:r>
            </w:hyperlink>
          </w:p>
        </w:tc>
        <w:tc>
          <w:tcPr>
            <w:tcW w:type="dxa" w:w="352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Вход не требуется; текущий выпуск указан как англоязычный, для четырёх регионов риска. </w:t>
            </w:r>
            <w:hyperlink r:id="rId18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С3</w:t>
              </w:r>
            </w:hyperlink>
          </w:p>
        </w:tc>
      </w:tr>
      <w:tr>
        <w:trPr>
          <w:cantSplit/>
        </w:trPr>
        <w:tc>
          <w:tcPr>
            <w:tcW w:type="dxa" w:w="242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7. Хранение и приватность</w:t>
            </w:r>
          </w:p>
        </w:tc>
        <w:tc>
          <w:tcPr>
            <w:tcW w:type="dxa" w:w="368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Условия истории и обработки введённых значений не исследованы; безопасность не аудирована.</w:t>
            </w:r>
          </w:p>
        </w:tc>
        <w:tc>
          <w:tcPr>
            <w:tcW w:type="dxa" w:w="352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Full Version с хранением данных прекращена с апреля 2022 года; это не аудит текущих логов. </w:t>
            </w:r>
            <w:hyperlink r:id="rId18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С3</w:t>
              </w:r>
            </w:hyperlink>
          </w:p>
        </w:tc>
      </w:tr>
      <w:tr>
        <w:trPr>
          <w:cantSplit/>
        </w:trPr>
        <w:tc>
          <w:tcPr>
            <w:tcW w:type="dxa" w:w="242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8. Экспорт и интеграция</w:t>
            </w:r>
          </w:p>
        </w:tc>
        <w:tc>
          <w:tcPr>
            <w:tcW w:type="dxa" w:w="368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Доступ к коду не равен наличию публичного HTTP API; экспорт не проверен. </w:t>
            </w:r>
            <w:hyperlink r:id="rId15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С1</w:t>
              </w:r>
            </w:hyperlink>
          </w:p>
        </w:tc>
        <w:tc>
          <w:tcPr>
            <w:tcW w:type="dxa" w:w="352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Экспорт и публичный API по рассмотренным страницам не подтверждены.</w:t>
            </w:r>
          </w:p>
        </w:tc>
      </w:tr>
      <w:tr>
        <w:trPr>
          <w:cantSplit/>
        </w:trPr>
        <w:tc>
          <w:tcPr>
            <w:tcW w:type="dxa" w:w="242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9. Ограничения сопоставления</w:t>
            </w:r>
          </w:p>
        </w:tc>
        <w:tc>
          <w:tcPr>
            <w:tcW w:type="dxa" w:w="368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Популяция разработки — взрослые США; выходом является риск, а не числовая цель MedPredict. </w:t>
            </w:r>
            <w:hyperlink r:id="rId15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С1</w:t>
              </w:r>
            </w:hyperlink>
          </w:p>
        </w:tc>
        <w:tc>
          <w:tcPr>
            <w:tcW w:type="dxa" w:w="352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Региональная применимость и клинические оговорки; выход не является прогнозом САД. </w:t>
            </w:r>
            <w:hyperlink r:id="rId16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С2</w:t>
              </w:r>
            </w:hyperlink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, </w:t>
            </w:r>
            <w:hyperlink r:id="rId17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С4</w:t>
              </w:r>
            </w:hyperlink>
          </w:p>
        </w:tc>
      </w:tr>
    </w:tbl>
    <w:p>
      <w:pPr>
        <w:pStyle w:val="Caption"/>
        <w:keepNext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Таблица 2 — Работа с измерениями и прогнозом ряда; те же критерии 1–9.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2399"/>
        <w:gridCol w:w="3500"/>
        <w:gridCol w:w="3739"/>
      </w:tblGrid>
      <w:tr>
        <w:trPr>
          <w:cantSplit/>
          <w:tblHeader/>
        </w:trPr>
        <w:tc>
          <w:tcPr>
            <w:tcW w:type="dxa" w:w="2399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Критерий</w:t>
            </w:r>
          </w:p>
        </w:tc>
        <w:tc>
          <w:tcPr>
            <w:tcW w:type="dxa" w:w="3500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OMRON connect EMEA</w:t>
            </w:r>
          </w:p>
        </w:tc>
        <w:tc>
          <w:tcPr>
            <w:tcW w:type="dxa" w:w="3739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Tandem Control-IQ</w:t>
            </w:r>
          </w:p>
        </w:tc>
      </w:tr>
      <w:tr>
        <w:trPr>
          <w:cantSplit/>
        </w:trPr>
        <w:tc>
          <w:tcPr>
            <w:tcW w:type="dxa" w:w="239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1. Назначение и аудитория</w:t>
            </w:r>
          </w:p>
        </w:tc>
        <w:tc>
          <w:tcPr>
            <w:tcW w:type="dxa" w:w="350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Пользовательский дневник и представление измерений совместимых устройств. </w:t>
            </w:r>
            <w:hyperlink r:id="rId19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С5</w:t>
              </w:r>
            </w:hyperlink>
          </w:p>
        </w:tc>
        <w:tc>
          <w:tcPr>
            <w:tcW w:type="dxa" w:w="373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Прогноз глюкозы для автоматической коррекции подачи инсулина помпой. </w:t>
            </w:r>
            <w:hyperlink r:id="rId20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С6</w:t>
              </w:r>
            </w:hyperlink>
          </w:p>
        </w:tc>
      </w:tr>
      <w:tr>
        <w:trPr>
          <w:cantSplit/>
        </w:trPr>
        <w:tc>
          <w:tcPr>
            <w:tcW w:type="dxa" w:w="239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2. Входные данные и показатели</w:t>
            </w:r>
          </w:p>
        </w:tc>
        <w:tc>
          <w:tcPr>
            <w:tcW w:type="dxa" w:w="350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Давление, пульс, масса, жировая масса и активность. </w:t>
            </w:r>
            <w:hyperlink r:id="rId19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С5</w:t>
              </w:r>
            </w:hyperlink>
          </w:p>
        </w:tc>
        <w:tc>
          <w:tcPr>
            <w:tcW w:type="dxa" w:w="373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Значения непрерывного мониторинга глюкозы (CGM); настройки персонального профиля влияют на подачу инсулина. </w:t>
            </w:r>
            <w:hyperlink r:id="rId20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С6</w:t>
              </w:r>
            </w:hyperlink>
          </w:p>
        </w:tc>
      </w:tr>
      <w:tr>
        <w:trPr>
          <w:cantSplit/>
        </w:trPr>
        <w:tc>
          <w:tcPr>
            <w:tcW w:type="dxa" w:w="239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3. Результат и горизонт</w:t>
            </w:r>
          </w:p>
        </w:tc>
        <w:tc>
          <w:tcPr>
            <w:tcW w:type="dxa" w:w="350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Фактические измерения, дневные/недельные/месячные средние; прогноз САД не подтверждён. </w:t>
            </w:r>
            <w:hyperlink r:id="rId19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С5</w:t>
              </w:r>
            </w:hyperlink>
          </w:p>
        </w:tc>
        <w:tc>
          <w:tcPr>
            <w:tcW w:type="dxa" w:w="373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Предсказание глюкозы на 30 минут вперёд и изменение подачи инсулина. </w:t>
            </w:r>
            <w:hyperlink r:id="rId20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С6</w:t>
              </w:r>
            </w:hyperlink>
          </w:p>
        </w:tc>
      </w:tr>
      <w:tr>
        <w:trPr>
          <w:cantSplit/>
        </w:trPr>
        <w:tc>
          <w:tcPr>
            <w:tcW w:type="dxa" w:w="239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4. Прозрачность метода</w:t>
            </w:r>
          </w:p>
        </w:tc>
        <w:tc>
          <w:tcPr>
            <w:tcW w:type="dxa" w:w="350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Публично описаны сбор и представление данных; регрессионная модель САД не заявлена на странице. </w:t>
            </w:r>
            <w:hyperlink r:id="rId19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С5</w:t>
              </w:r>
            </w:hyperlink>
          </w:p>
        </w:tc>
        <w:tc>
          <w:tcPr>
            <w:tcW w:type="dxa" w:w="373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Описаны правила увеличения, сохранения, уменьшения и остановки подачи; код и обучение не оценивались. </w:t>
            </w:r>
            <w:hyperlink r:id="rId20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С6</w:t>
              </w:r>
            </w:hyperlink>
          </w:p>
        </w:tc>
      </w:tr>
      <w:tr>
        <w:trPr>
          <w:cantSplit/>
        </w:trPr>
        <w:tc>
          <w:tcPr>
            <w:tcW w:type="dxa" w:w="239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5. Объяснение результата</w:t>
            </w:r>
          </w:p>
        </w:tc>
        <w:tc>
          <w:tcPr>
            <w:tcW w:type="dxa" w:w="350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Графики, цветовое обозначение и средние измерений. </w:t>
            </w:r>
            <w:hyperlink r:id="rId19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С5</w:t>
              </w:r>
            </w:hyperlink>
          </w:p>
        </w:tc>
        <w:tc>
          <w:tcPr>
            <w:tcW w:type="dxa" w:w="373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Пояснено влияние прогнозируемого значения на действия системы; это не оценка интерпретируемости нейросети. </w:t>
            </w:r>
            <w:hyperlink r:id="rId20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С6</w:t>
              </w:r>
            </w:hyperlink>
          </w:p>
        </w:tc>
      </w:tr>
      <w:tr>
        <w:trPr>
          <w:cantSplit/>
        </w:trPr>
        <w:tc>
          <w:tcPr>
            <w:tcW w:type="dxa" w:w="239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6. Доступ и удобство</w:t>
            </w:r>
          </w:p>
        </w:tc>
        <w:tc>
          <w:tcPr>
            <w:tcW w:type="dxa" w:w="350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Мобильное приложение; бесплатные и Premium-возможности; usability не измерено. </w:t>
            </w:r>
            <w:hyperlink r:id="rId19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С5</w:t>
              </w:r>
            </w:hyperlink>
          </w:p>
        </w:tc>
        <w:tc>
          <w:tcPr>
            <w:tcW w:type="dxa" w:w="373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Требуется соответствующая система помпы и CGM; применение руководствуется инструкцией производителя. </w:t>
            </w:r>
            <w:hyperlink r:id="rId20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С6</w:t>
              </w:r>
            </w:hyperlink>
          </w:p>
        </w:tc>
      </w:tr>
      <w:tr>
        <w:trPr>
          <w:cantSplit/>
        </w:trPr>
        <w:tc>
          <w:tcPr>
            <w:tcW w:type="dxa" w:w="239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7. Хранение и приватность</w:t>
            </w:r>
          </w:p>
        </w:tc>
        <w:tc>
          <w:tcPr>
            <w:tcW w:type="dxa" w:w="350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Для хранения и просмотра производитель требует регистрацию; безопасность не аудирована. </w:t>
            </w:r>
            <w:hyperlink r:id="rId19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С5</w:t>
              </w:r>
            </w:hyperlink>
          </w:p>
        </w:tc>
        <w:tc>
          <w:tcPr>
            <w:tcW w:type="dxa" w:w="373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Политика хранения не исследовалась; медицинские данные в систему не вводились.</w:t>
            </w:r>
          </w:p>
        </w:tc>
      </w:tr>
      <w:tr>
        <w:trPr>
          <w:cantSplit/>
        </w:trPr>
        <w:tc>
          <w:tcPr>
            <w:tcW w:type="dxa" w:w="239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8. Экспорт и интеграция</w:t>
            </w:r>
          </w:p>
        </w:tc>
        <w:tc>
          <w:tcPr>
            <w:tcW w:type="dxa" w:w="350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PDF/CSV; интеграции Apple Health, Google Fit и Samsung Health заявлены производителем. </w:t>
            </w:r>
            <w:hyperlink r:id="rId19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С5</w:t>
              </w:r>
            </w:hyperlink>
          </w:p>
        </w:tc>
        <w:tc>
          <w:tcPr>
            <w:tcW w:type="dxa" w:w="373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Взаимодействие CGM и помпы подтверждено; условия стороннего API и экспорта не проверены. </w:t>
            </w:r>
            <w:hyperlink r:id="rId20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С6</w:t>
              </w:r>
            </w:hyperlink>
          </w:p>
        </w:tc>
      </w:tr>
      <w:tr>
        <w:trPr>
          <w:cantSplit/>
        </w:trPr>
        <w:tc>
          <w:tcPr>
            <w:tcW w:type="dxa" w:w="239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9. Ограничения сопоставления</w:t>
            </w:r>
          </w:p>
        </w:tc>
        <w:tc>
          <w:tcPr>
            <w:tcW w:type="dxa" w:w="350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Измерения не равны оценке неизвестного САД; приложение не даёт индивидуальный диагноз. </w:t>
            </w:r>
            <w:hyperlink r:id="rId19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С5</w:t>
              </w:r>
            </w:hyperlink>
          </w:p>
        </w:tc>
        <w:tc>
          <w:tcPr>
            <w:tcW w:type="dxa" w:w="373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Терапевтическое управление и аппаратная интеграция выходят за границы учебного MedPredict; горизонт не переносится автоматически. </w:t>
            </w:r>
            <w:hyperlink r:id="rId20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С6</w:t>
              </w:r>
            </w:hyperlink>
          </w:p>
        </w:tc>
      </w:tr>
    </w:tbl>
    <w:p>
      <w:bookmarkStart w:id="4" w:name="section_004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4. Позиционирование MedPredict по тем же критериям</w:t>
      </w:r>
      <w:bookmarkEnd w:id="4"/>
    </w:p>
    <w:p>
      <w:pPr>
        <w:pStyle w:val="Caption"/>
        <w:keepNext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Таблица 3 — Реализация и исследовательское намерение MedPredict.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2460"/>
        <w:gridCol w:w="3582"/>
        <w:gridCol w:w="3596"/>
      </w:tblGrid>
      <w:tr>
        <w:trPr>
          <w:cantSplit/>
          <w:tblHeader/>
        </w:trPr>
        <w:tc>
          <w:tcPr>
            <w:tcW w:type="dxa" w:w="2460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Критерий</w:t>
            </w:r>
          </w:p>
        </w:tc>
        <w:tc>
          <w:tcPr>
            <w:tcW w:type="dxa" w:w="3582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Проверенное состояние на 16.10.2026</w:t>
            </w:r>
          </w:p>
        </w:tc>
        <w:tc>
          <w:tcPr>
            <w:tcW w:type="dxa" w:w="3596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Предлагаемое развитие</w:t>
            </w:r>
          </w:p>
        </w:tc>
      </w:tr>
      <w:tr>
        <w:trPr>
          <w:cantSplit/>
        </w:trPr>
        <w:tc>
          <w:tcPr>
            <w:tcW w:type="dxa" w:w="246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1. Назначение и аудитория</w:t>
            </w:r>
          </w:p>
        </w:tc>
        <w:tc>
          <w:tcPr>
            <w:tcW w:type="dxa" w:w="358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Учебная демонстрация программного сценария; потребность пользователей ещё требует реальных обсуждений</w:t>
            </w:r>
          </w:p>
        </w:tc>
        <w:tc>
          <w:tcPr>
            <w:tcW w:type="dxa" w:w="359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Исследовательский веб-прототип; целевые сценарии уточнить по интервью</w:t>
            </w:r>
          </w:p>
        </w:tc>
      </w:tr>
      <w:tr>
        <w:trPr>
          <w:cantSplit/>
        </w:trPr>
        <w:tc>
          <w:tcPr>
            <w:tcW w:type="dxa" w:w="246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2. Входные данные и показатели</w:t>
            </w:r>
          </w:p>
        </w:tc>
        <w:tc>
          <w:tcPr>
            <w:tcW w:type="dxa" w:w="358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Предварительная демоформа САД, не утверждённый набор признаков модели</w:t>
            </w:r>
          </w:p>
        </w:tc>
        <w:tc>
          <w:tcPr>
            <w:tcW w:type="dxa" w:w="359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Независимые схемы ввода для Diabetes, NHANES и временного ряда глюкозы</w:t>
            </w:r>
          </w:p>
        </w:tc>
      </w:tr>
      <w:tr>
        <w:trPr>
          <w:cantSplit/>
        </w:trPr>
        <w:tc>
          <w:tcPr>
            <w:tcW w:type="dxa" w:w="246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3. Результат и горизонт</w:t>
            </w:r>
          </w:p>
        </w:tc>
        <w:tc>
          <w:tcPr>
            <w:tcW w:type="dxa" w:w="358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Фиксированный пример; научный прогноз не выполняется</w:t>
            </w:r>
          </w:p>
        </w:tc>
        <w:tc>
          <w:tcPr>
            <w:tcW w:type="dxa" w:w="359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Числовая цель Diabetes; оценка САД; прогноз глюкозы с отдельно утверждённым горизонтом</w:t>
            </w:r>
          </w:p>
        </w:tc>
      </w:tr>
      <w:tr>
        <w:trPr>
          <w:cantSplit/>
        </w:trPr>
        <w:tc>
          <w:tcPr>
            <w:tcW w:type="dxa" w:w="246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4. Прозрачность метода</w:t>
            </w:r>
          </w:p>
        </w:tc>
        <w:tc>
          <w:tcPr>
            <w:tcW w:type="dxa" w:w="358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Доступен frontend; модели и артефакты обучения отсутствуют</w:t>
            </w:r>
          </w:p>
        </w:tc>
        <w:tc>
          <w:tcPr>
            <w:tcW w:type="dxa" w:w="359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Паспорт данных, preprocessing, версия модели, воспроизводимый эксперимент</w:t>
            </w:r>
          </w:p>
        </w:tc>
      </w:tr>
      <w:tr>
        <w:trPr>
          <w:cantSplit/>
        </w:trPr>
        <w:tc>
          <w:tcPr>
            <w:tcW w:type="dxa" w:w="246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5. Объяснение результата</w:t>
            </w:r>
          </w:p>
        </w:tc>
        <w:tc>
          <w:tcPr>
            <w:tcW w:type="dxa" w:w="358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Единицы, версия при наличии в ответе, учебное предупреждение, маркировка demo</w:t>
            </w:r>
          </w:p>
        </w:tc>
        <w:tc>
          <w:tcPr>
            <w:tcW w:type="dxa" w:w="359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Анализ ошибок и понятное объяснение ограничений; метод объяснения выбрать после модели</w:t>
            </w:r>
          </w:p>
        </w:tc>
      </w:tr>
      <w:tr>
        <w:trPr>
          <w:cantSplit/>
        </w:trPr>
        <w:tc>
          <w:tcPr>
            <w:tcW w:type="dxa" w:w="246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6. Доступ и удобство</w:t>
            </w:r>
          </w:p>
        </w:tc>
        <w:tc>
          <w:tcPr>
            <w:tcW w:type="dxa" w:w="358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RU/KK/EN; реализованы состояния формы и запроса; реальная пользовательская оценка не подтверждена</w:t>
            </w:r>
          </w:p>
        </w:tc>
        <w:tc>
          <w:tcPr>
            <w:tcW w:type="dxa" w:w="359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Проверка выполнения задач, ошибок ввода и понимания результата с участниками</w:t>
            </w:r>
          </w:p>
        </w:tc>
      </w:tr>
      <w:tr>
        <w:trPr>
          <w:cantSplit/>
        </w:trPr>
        <w:tc>
          <w:tcPr>
            <w:tcW w:type="dxa" w:w="246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7. Хранение и приватность</w:t>
            </w:r>
          </w:p>
        </w:tc>
        <w:tc>
          <w:tcPr>
            <w:tcW w:type="dxa" w:w="358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Ввод в памяти frontend; постоянная история отключена; PDF содержит экспортированные данные</w:t>
            </w:r>
          </w:p>
        </w:tc>
        <w:tc>
          <w:tcPr>
            <w:tcW w:type="dxa" w:w="359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Правила серверного доступа, логирования, хранения и удаления согласовать отдельно</w:t>
            </w:r>
          </w:p>
        </w:tc>
      </w:tr>
      <w:tr>
        <w:trPr>
          <w:cantSplit/>
        </w:trPr>
        <w:tc>
          <w:tcPr>
            <w:tcW w:type="dxa" w:w="246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8. Экспорт и интеграция</w:t>
            </w:r>
          </w:p>
        </w:tc>
        <w:tc>
          <w:tcPr>
            <w:tcW w:type="dxa" w:w="358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PDF из существующего результата; HTTP-адаптер; работа с backend не подтверждена</w:t>
            </w:r>
          </w:p>
        </w:tc>
        <w:tc>
          <w:tcPr>
            <w:tcW w:type="dxa" w:w="359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Согласовать API и сопоставить ответы сервера с исследовательской реализацией</w:t>
            </w:r>
          </w:p>
        </w:tc>
      </w:tr>
      <w:tr>
        <w:trPr>
          <w:cantSplit/>
        </w:trPr>
        <w:tc>
          <w:tcPr>
            <w:tcW w:type="dxa" w:w="246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9. Ограничения сопоставления</w:t>
            </w:r>
          </w:p>
        </w:tc>
        <w:tc>
          <w:tcPr>
            <w:tcW w:type="dxa" w:w="358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Нет обученной модели, независимых метрик и клинической валидации</w:t>
            </w:r>
          </w:p>
        </w:tc>
        <w:tc>
          <w:tcPr>
            <w:tcW w:type="dxa" w:w="359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Экспериментальное сравнение с baselines внутри одной задачи; клинические заявления исключены</w:t>
            </w:r>
          </w:p>
        </w:tc>
      </w:tr>
    </w:tbl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Основания для текущего состояния: </w:t>
      </w:r>
      <w:hyperlink r:id="rId10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README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</w:t>
      </w:r>
      <w:hyperlink r:id="rId14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API-контракт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</w:t>
      </w:r>
      <w:hyperlink r:id="rId12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конфигурация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, </w:t>
      </w:r>
      <w:hyperlink r:id="rId11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demo-адаптер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>. Правая колонка — предложения данного документа, а не отчёт о готовых функциях.</w:t>
      </w:r>
    </w:p>
    <w:p>
      <w:bookmarkStart w:id="5" w:name="section_005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5. Выводы для требований и исследования</w:t>
      </w:r>
      <w:bookmarkEnd w:id="5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Сравнение указывает на необходимость показывать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тип результата, его единицы и временной смысл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. Процент риска события, измеренное давление, оценка неизвестного текущего значения и будущая глюкоза не взаимозаменяемы. Поэтому MAE MedPredict нельзя сопоставлять с процентом риска PREVENT или с качеством регулирования инсулина Control-IQ. Это методологический вывод анализа, а не результат испытаний.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Для проекта предлагается исследовать воспроизводимую связку «описание модуля → валидный ввод → версия модели → числовой ответ → ограничения → экспорт». Предлагаемые потребности — понятность единиц, различение demo и модели, понимание неопределённости и ошибок — следует проверить в реальных интервью. Наличие подобных элементов у аналогов не подтверждает спрос на MedPredict.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Развитие целесообразно выполнять последовательно: сначала воспроизводимый baseline и MLP на Diabetes, затем оценка САД после определения NHANES-выборки, далее временной модуль при наличии подходящих продольных данных. Эксперименты должны сравнивать методы на одинаковой цели и разбиении. Более низкая ошибка на учебном наборе сама по себе не доказывает клиническую пригодность.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RU/KK/EN и PDF являются свойствами имеющегося frontend, но не установленным конкурентным превосходством. Нельзя утверждать, что у всех аналогов отсутствует локализация, что они менее удобны либо что MedPredict точнее или безопаснее. Для таких выводов в этом исследовании нет измерений.</w:t>
      </w:r>
    </w:p>
    <w:p>
      <w:bookmarkStart w:id="6" w:name="section_006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6. Реестр первичных источников</w:t>
      </w:r>
      <w:bookmarkEnd w:id="6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Дата обращения ко всем внешним источникам: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16.10.2026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. Материал производителя рассматривается как описание заявленной функциональности, а не независимое доказательство её эффективности.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2493"/>
        <w:gridCol w:w="3471"/>
        <w:gridCol w:w="3674"/>
      </w:tblGrid>
      <w:tr>
        <w:trPr>
          <w:cantSplit/>
          <w:tblHeader/>
        </w:trPr>
        <w:tc>
          <w:tcPr>
            <w:tcW w:type="dxa" w:w="2493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Код</w:t>
            </w:r>
          </w:p>
        </w:tc>
        <w:tc>
          <w:tcPr>
            <w:tcW w:type="dxa" w:w="3471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Организация и документ</w:t>
            </w:r>
          </w:p>
        </w:tc>
        <w:tc>
          <w:tcPr>
            <w:tcW w:type="dxa" w:w="3674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Проверяемое основание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С1</w:t>
            </w:r>
          </w:p>
        </w:tc>
        <w:tc>
          <w:tcPr>
            <w:tcW w:type="dxa" w:w="347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American Heart Association. </w:t>
            </w:r>
            <w:hyperlink r:id="rId15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Predicting Risk of cardiovascular disease EVENTs (PREVENT)</w:t>
              </w:r>
            </w:hyperlink>
          </w:p>
        </w:tc>
        <w:tc>
          <w:tcPr>
            <w:tcW w:type="dxa" w:w="367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Назначение, факторы, горизонты, популяция, условия доступа к коду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С2</w:t>
            </w:r>
          </w:p>
        </w:tc>
        <w:tc>
          <w:tcPr>
            <w:tcW w:type="dxa" w:w="347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European Society of Cardiology. </w:t>
            </w:r>
            <w:hyperlink r:id="rId16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About HeartScore</w:t>
              </w:r>
            </w:hyperlink>
          </w:p>
        </w:tc>
        <w:tc>
          <w:tcPr>
            <w:tcW w:type="dxa" w:w="367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SCORE2/SCORE2-OP, целевая задача, публикации разработки и валидации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С3</w:t>
            </w:r>
          </w:p>
        </w:tc>
        <w:tc>
          <w:tcPr>
            <w:tcW w:type="dxa" w:w="347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European Society of Cardiology. </w:t>
            </w:r>
            <w:hyperlink r:id="rId18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HeartScore</w:t>
              </w:r>
            </w:hyperlink>
          </w:p>
        </w:tc>
        <w:tc>
          <w:tcPr>
            <w:tcW w:type="dxa" w:w="367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Доступ без входа, язык, регионы, прекращение Full Version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С4</w:t>
            </w:r>
          </w:p>
        </w:tc>
        <w:tc>
          <w:tcPr>
            <w:tcW w:type="dxa" w:w="347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European Society of Cardiology. </w:t>
            </w:r>
            <w:hyperlink r:id="rId17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Qualifiers</w:t>
              </w:r>
            </w:hyperlink>
          </w:p>
        </w:tc>
        <w:tc>
          <w:tcPr>
            <w:tcW w:type="dxa" w:w="367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Оговорки применимости и учёт локальных условий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С5</w:t>
            </w:r>
          </w:p>
        </w:tc>
        <w:tc>
          <w:tcPr>
            <w:tcW w:type="dxa" w:w="347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OMRON Healthcare EMEA. </w:t>
            </w:r>
            <w:hyperlink r:id="rId19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OMRON connect</w:t>
              </w:r>
            </w:hyperlink>
          </w:p>
        </w:tc>
        <w:tc>
          <w:tcPr>
            <w:tcW w:type="dxa" w:w="367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Измерения, средние, экспорт, регистрация, ограничения назначения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С6</w:t>
            </w:r>
          </w:p>
        </w:tc>
        <w:tc>
          <w:tcPr>
            <w:tcW w:type="dxa" w:w="347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 xml:space="preserve">Tandem Diabetes Care. </w:t>
            </w:r>
            <w:hyperlink r:id="rId20">
              <w:r>
                <w:rPr>
                  <w:rFonts w:ascii="Times New Roman" w:hAnsi="Times New Roman" w:eastAsia="Times New Roman" w:cs="Times New Roman"/>
                  <w:b w:val="0"/>
                  <w:i w:val="0"/>
                  <w:color w:val="225588"/>
                  <w:sz w:val="21"/>
                  <w:u w:val="single"/>
                </w:rPr>
                <w:t>Impact of Treatment Values on Control-IQ Technology</w:t>
              </w:r>
            </w:hyperlink>
          </w:p>
        </w:tc>
        <w:tc>
          <w:tcPr>
            <w:tcW w:type="dxa" w:w="367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CGM, горизонт 30 минут, связь прогноза с подачей инсулина; статья ZD-000163_B, 28.11.2023</w:t>
            </w:r>
          </w:p>
        </w:tc>
      </w:tr>
    </w:tbl>
    <w:p>
      <w:bookmarkStart w:id="7" w:name="section_007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7. Ограничения проведённой проверки</w:t>
      </w:r>
      <w:bookmarkEnd w:id="7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Не проводились регистрация, установка мобильных приложений, работа с устройствами, платный доступ, пользовательские испытания, аудит безопасности или воспроизведение клинических исследований. Данные пациентов не вводились. Интерактивная форма HeartScore недоступна через использованное средство веб-проверки; поэтому её актуальные поля и проверки не объявлены подтверждёнными. Содержимое страниц может измениться.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Али согласует данные и метрики, Оралхан — API и интеграцию, Санат — пользовательские сценарии. Сравнение обосновывает требования; превосходство MedPredict экспериментально не установлено.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69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69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9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69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69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9" w:lineRule="auto" w:after="120"/>
    </w:pPr>
    <w:rPr>
      <w:rFonts w:ascii="Times New Roman" w:hAnsi="Times New Roman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../../README.md" TargetMode="External"/><Relationship Id="rId11" Type="http://schemas.openxmlformats.org/officeDocument/2006/relationships/hyperlink" Target="../../src/api/demo.ts" TargetMode="External"/><Relationship Id="rId12" Type="http://schemas.openxmlformats.org/officeDocument/2006/relationships/hyperlink" Target="../../src/config/indicator.ts" TargetMode="External"/><Relationship Id="rId13" Type="http://schemas.openxmlformats.org/officeDocument/2006/relationships/hyperlink" Target="../../src/components/ResultPanel.tsx" TargetMode="External"/><Relationship Id="rId14" Type="http://schemas.openxmlformats.org/officeDocument/2006/relationships/hyperlink" Target="../api-contract.md" TargetMode="External"/><Relationship Id="rId15" Type="http://schemas.openxmlformats.org/officeDocument/2006/relationships/hyperlink" Target="https://professional.heart.org/en/guidelines-and-statements/about-prevent-calculator" TargetMode="External"/><Relationship Id="rId16" Type="http://schemas.openxmlformats.org/officeDocument/2006/relationships/hyperlink" Target="https://www.heartscore.org/en_GB/about-heartscore" TargetMode="External"/><Relationship Id="rId17" Type="http://schemas.openxmlformats.org/officeDocument/2006/relationships/hyperlink" Target="https://www.heartscore.org/en_GB/qualifiers" TargetMode="External"/><Relationship Id="rId18" Type="http://schemas.openxmlformats.org/officeDocument/2006/relationships/hyperlink" Target="https://www.heartscore.org/en_GB" TargetMode="External"/><Relationship Id="rId19" Type="http://schemas.openxmlformats.org/officeDocument/2006/relationships/hyperlink" Target="https://www.omron-healthcare.com/omronconnect" TargetMode="External"/><Relationship Id="rId20" Type="http://schemas.openxmlformats.org/officeDocument/2006/relationships/hyperlink" Target="https://www.tandemdiabetes.com/support-center/pumps-and-supplies/automated-insulin-delivery/article/control-iq-treatment-values?set-locale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Сравнение существующих систем смежного назначения</dc:title>
  <dc:subject>Первая предварительная защита 24.10.2026</dc:subject>
  <dc:creator>MedPredict</dc:creator>
  <cp:keywords/>
  <dc:description>Source: docs/comparisons/MedPredict_Existing_Systems_Comparison.md</dc:description>
  <cp:lastModifiedBy/>
  <cp:revision>1</cp:revision>
  <dcterms:created xsi:type="dcterms:W3CDTF">2013-12-23T23:15:00Z</dcterms:created>
  <dcterms:modified xsi:type="dcterms:W3CDTF">2013-12-23T23:15:00Z</dcterms:modified>
  <cp:category/>
  <dc:identifier>medpredict-predefense-builder-v1</dc:identifier>
</cp:coreProperties>
</file>