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Times New Roman" w:cs="Times New Roman"/>
          <w:b w:val="0"/>
          <w:i w:val="0"/>
          <w:color w:val="000000"/>
        </w:rPr>
        <w:t>Предложение по дипломному проекту MedPredict</w:t>
      </w:r>
    </w:p>
    <w:p>
      <w:pPr/>
      <w:r>
        <w:rPr>
          <w:rFonts w:ascii="Times New Roman" w:hAnsi="Times New Roman" w:eastAsia="Times New Roman" w:cs="Times New Roman"/>
          <w:b w:val="0"/>
          <w:i w:val="0"/>
          <w:color w:val="000000"/>
        </w:rPr>
        <w:t>Версия для первой предварительной защиты 24.10.2026. Дата подготовки 16.10.2026. Astana IT University, образовательная программа Software Engineering, группа SE-2409.</w:t>
      </w:r>
    </w:p>
    <w:p>
      <w:pPr>
        <w:pStyle w:val="Heading1"/>
      </w:pPr>
      <w:r>
        <w:t>Содержание</w:t>
      </w:r>
    </w:p>
    <w:p>
      <w:hyperlink w:anchor="section_001">
        <w:r>
          <w:rPr>
            <w:rFonts w:ascii="Times New Roman" w:hAnsi="Times New Roman" w:eastAsia="Times New Roman" w:cs="Times New Roman"/>
            <w:b w:val="0"/>
            <w:i w:val="0"/>
            <w:color w:val="225588"/>
            <w:sz w:val="21"/>
            <w:u w:val="single"/>
          </w:rPr>
          <w:t>1 Официальная тема и участники</w:t>
        </w:r>
      </w:hyperlink>
    </w:p>
    <w:p>
      <w:hyperlink w:anchor="section_002">
        <w:r>
          <w:rPr>
            <w:rFonts w:ascii="Times New Roman" w:hAnsi="Times New Roman" w:eastAsia="Times New Roman" w:cs="Times New Roman"/>
            <w:b w:val="0"/>
            <w:i w:val="0"/>
            <w:color w:val="225588"/>
            <w:sz w:val="21"/>
            <w:u w:val="single"/>
          </w:rPr>
          <w:t>2 Предпосылки и постановка проблемы</w:t>
        </w:r>
      </w:hyperlink>
    </w:p>
    <w:p>
      <w:hyperlink w:anchor="section_003">
        <w:r>
          <w:rPr>
            <w:rFonts w:ascii="Times New Roman" w:hAnsi="Times New Roman" w:eastAsia="Times New Roman" w:cs="Times New Roman"/>
            <w:b w:val="0"/>
            <w:i w:val="0"/>
            <w:color w:val="225588"/>
            <w:sz w:val="21"/>
            <w:u w:val="single"/>
          </w:rPr>
          <w:t>3 Пользователи и исследовательская постановка</w:t>
        </w:r>
      </w:hyperlink>
    </w:p>
    <w:p>
      <w:hyperlink w:anchor="section_004">
        <w:r>
          <w:rPr>
            <w:rFonts w:ascii="Times New Roman" w:hAnsi="Times New Roman" w:eastAsia="Times New Roman" w:cs="Times New Roman"/>
            <w:b w:val="0"/>
            <w:i w:val="0"/>
            <w:color w:val="225588"/>
            <w:sz w:val="21"/>
            <w:u w:val="single"/>
          </w:rPr>
          <w:t>4 Предлагаемые независимые модули</w:t>
        </w:r>
      </w:hyperlink>
    </w:p>
    <w:p>
      <w:hyperlink w:anchor="section_005">
        <w:r>
          <w:rPr>
            <w:rFonts w:ascii="Times New Roman" w:hAnsi="Times New Roman" w:eastAsia="Times New Roman" w:cs="Times New Roman"/>
            <w:b w:val="0"/>
            <w:i w:val="0"/>
            <w:color w:val="225588"/>
            <w:sz w:val="21"/>
            <w:u w:val="single"/>
          </w:rPr>
          <w:t>5 Границы и ожидаемые результаты</w:t>
        </w:r>
      </w:hyperlink>
    </w:p>
    <w:p>
      <w:hyperlink w:anchor="section_006">
        <w:r>
          <w:rPr>
            <w:rFonts w:ascii="Times New Roman" w:hAnsi="Times New Roman" w:eastAsia="Times New Roman" w:cs="Times New Roman"/>
            <w:b w:val="0"/>
            <w:i w:val="0"/>
            <w:color w:val="225588"/>
            <w:sz w:val="21"/>
            <w:u w:val="single"/>
          </w:rPr>
          <w:t>6 Подтверждённое состояние на 16 октября</w:t>
        </w:r>
      </w:hyperlink>
    </w:p>
    <w:p>
      <w:hyperlink w:anchor="section_007">
        <w:r>
          <w:rPr>
            <w:rFonts w:ascii="Times New Roman" w:hAnsi="Times New Roman" w:eastAsia="Times New Roman" w:cs="Times New Roman"/>
            <w:b w:val="0"/>
            <w:i w:val="0"/>
            <w:color w:val="225588"/>
            <w:sz w:val="21"/>
            <w:u w:val="single"/>
          </w:rPr>
          <w:t>7 Стратегия реализации и этапы</w:t>
        </w:r>
      </w:hyperlink>
    </w:p>
    <w:p>
      <w:hyperlink w:anchor="section_008">
        <w:r>
          <w:rPr>
            <w:rFonts w:ascii="Times New Roman" w:hAnsi="Times New Roman" w:eastAsia="Times New Roman" w:cs="Times New Roman"/>
            <w:b w:val="0"/>
            <w:i w:val="0"/>
            <w:color w:val="225588"/>
            <w:sz w:val="21"/>
            <w:u w:val="single"/>
          </w:rPr>
          <w:t>8 Риски и ограничения</w:t>
        </w:r>
      </w:hyperlink>
    </w:p>
    <w:p>
      <w:hyperlink w:anchor="section_009">
        <w:r>
          <w:rPr>
            <w:rFonts w:ascii="Times New Roman" w:hAnsi="Times New Roman" w:eastAsia="Times New Roman" w:cs="Times New Roman"/>
            <w:b w:val="0"/>
            <w:i w:val="0"/>
            <w:color w:val="225588"/>
            <w:sz w:val="21"/>
            <w:u w:val="single"/>
          </w:rPr>
          <w:t>9 Решения для согласования</w:t>
        </w:r>
      </w:hyperlink>
    </w:p>
    <w:p>
      <w:bookmarkStart w:id="1" w:name="section_001"/>
      <w:pPr>
        <w:pStyle w:val="Heading1"/>
      </w:pPr>
      <w:r>
        <w:rPr>
          <w:rFonts w:ascii="Times New Roman" w:hAnsi="Times New Roman" w:eastAsia="Times New Roman" w:cs="Times New Roman"/>
          <w:b/>
          <w:i w:val="0"/>
          <w:color w:val="000000"/>
        </w:rPr>
        <w:t>1 Официальная тема и участники</w:t>
      </w:r>
      <w:bookmarkEnd w:id="1"/>
    </w:p>
    <w:p>
      <w:pPr/>
      <w:r>
        <w:rPr>
          <w:rFonts w:ascii="Times New Roman" w:hAnsi="Times New Roman" w:eastAsia="Times New Roman" w:cs="Times New Roman"/>
          <w:b/>
          <w:i w:val="0"/>
          <w:color w:val="000000"/>
        </w:rPr>
        <w:t>«Разработка интеллектуальной системы прогнозирования медицинских показателей на основе нейронных сетей»</w:t>
      </w:r>
    </w:p>
    <w:p>
      <w:pPr/>
      <w:r>
        <w:rPr>
          <w:rFonts w:ascii="Times New Roman" w:hAnsi="Times New Roman" w:eastAsia="Times New Roman" w:cs="Times New Roman"/>
          <w:b w:val="0"/>
          <w:i w:val="0"/>
          <w:color w:val="000000"/>
        </w:rPr>
        <w:t>Тема приводится без изменения по поручению команды. Документ о её формальном утверждении не предоставлен. MedPredict рассматривается как учебный исследовательский веб-прототип. Его результаты не являются диагнозом, назначением лечения или основанием для клинического решения.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10" w:type="dxa"/>
          <w:right w:w="110" w:type="dxa"/>
        </w:tblCellMar>
      </w:tblPr>
      <w:tblGrid>
        <w:gridCol w:w="2476"/>
        <w:gridCol w:w="3547"/>
        <w:gridCol w:w="3615"/>
      </w:tblGrid>
      <w:tr>
        <w:trPr>
          <w:cantSplit/>
          <w:tblHeader/>
        </w:trPr>
        <w:tc>
          <w:tcPr>
            <w:tcW w:type="dxa" w:w="2476"/>
            <w:vAlign w:val="center"/>
            <w:shd w:fill="DCEAF7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1"/>
              </w:rPr>
              <w:t>Участник</w:t>
            </w:r>
          </w:p>
        </w:tc>
        <w:tc>
          <w:tcPr>
            <w:tcW w:type="dxa" w:w="3547"/>
            <w:vAlign w:val="center"/>
            <w:shd w:fill="DCEAF7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1"/>
              </w:rPr>
              <w:t>Ответственность</w:t>
            </w:r>
          </w:p>
        </w:tc>
        <w:tc>
          <w:tcPr>
            <w:tcW w:type="dxa" w:w="3615"/>
            <w:vAlign w:val="center"/>
            <w:shd w:fill="DCEAF7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1"/>
              </w:rPr>
              <w:t>Ожидаемые подтверждения вклада</w:t>
            </w:r>
          </w:p>
        </w:tc>
      </w:tr>
      <w:tr>
        <w:trPr>
          <w:cantSplit/>
        </w:trPr>
        <w:tc>
          <w:tcPr>
            <w:tcW w:type="dxa" w:w="2476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Бөгенбаев Санат Амандықұлы</w:t>
            </w:r>
          </w:p>
        </w:tc>
        <w:tc>
          <w:tcPr>
            <w:tcW w:type="dxa" w:w="3547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Frontend, UI/UX, сценарии, доступность, клиентский API-адаптер, представление результата</w:t>
            </w:r>
          </w:p>
        </w:tc>
        <w:tc>
          <w:tcPr>
            <w:tcW w:type="dxa" w:w="3615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Код React, макет Figma, проверки интерфейса, PR и документация</w:t>
            </w:r>
          </w:p>
        </w:tc>
      </w:tr>
      <w:tr>
        <w:trPr>
          <w:cantSplit/>
        </w:trPr>
        <w:tc>
          <w:tcPr>
            <w:tcW w:type="dxa" w:w="2476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Баймен Али Қуанышұлы</w:t>
            </w:r>
          </w:p>
        </w:tc>
        <w:tc>
          <w:tcPr>
            <w:tcW w:type="dxa" w:w="3547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Выбор и описание данных, базовые методы, нейросети, обучение и оценка</w:t>
            </w:r>
          </w:p>
        </w:tc>
        <w:tc>
          <w:tcPr>
            <w:tcW w:type="dxa" w:w="3615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Паспорт данных, воспроизводимые эксперименты, отчёт об ошибках и ограничениях</w:t>
            </w:r>
          </w:p>
        </w:tc>
      </w:tr>
      <w:tr>
        <w:trPr>
          <w:cantSplit/>
        </w:trPr>
        <w:tc>
          <w:tcPr>
            <w:tcW w:type="dxa" w:w="2476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Сеилхан Оралхан Сайранұлы</w:t>
            </w:r>
          </w:p>
        </w:tc>
        <w:tc>
          <w:tcPr>
            <w:tcW w:type="dxa" w:w="3547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Java/Spring Boot, REST API, серверная валидация, исполнение модели</w:t>
            </w:r>
          </w:p>
        </w:tc>
        <w:tc>
          <w:tcPr>
            <w:tcW w:type="dxa" w:w="3615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Согласованный контракт, серверный код, интеграционные проверки, измерения задержки</w:t>
            </w:r>
          </w:p>
        </w:tc>
      </w:tr>
    </w:tbl>
    <w:p>
      <w:pPr/>
      <w:r>
        <w:rPr>
          <w:rFonts w:ascii="Times New Roman" w:hAnsi="Times New Roman" w:eastAsia="Times New Roman" w:cs="Times New Roman"/>
          <w:b/>
          <w:i w:val="0"/>
          <w:color w:val="000000"/>
        </w:rPr>
        <w:t>Научный руководитель — Турарова Маржан Кабдыкалиевна.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 Полное ФИО сообщено и подтверждено пользователем от имени команды 16.10.2026. Ранее в синтетических материалах встречалось только «M. K. Turarova»; оно не использовалось для самостоятельного раскрытия инициалов. Документ о назначении и подлинный отзыв руководителя не предоставлены.</w:t>
      </w:r>
    </w:p>
    <w:p>
      <w:bookmarkStart w:id="2" w:name="section_002"/>
      <w:pPr>
        <w:pStyle w:val="Heading1"/>
      </w:pPr>
      <w:r>
        <w:rPr>
          <w:rFonts w:ascii="Times New Roman" w:hAnsi="Times New Roman" w:eastAsia="Times New Roman" w:cs="Times New Roman"/>
          <w:b/>
          <w:i w:val="0"/>
          <w:color w:val="000000"/>
        </w:rPr>
        <w:t>2 Предпосылки и постановка проблемы</w:t>
      </w:r>
      <w:bookmarkEnd w:id="2"/>
    </w:p>
    <w:p>
      <w:pPr/>
      <w:r>
        <w:rPr>
          <w:rFonts w:ascii="Times New Roman" w:hAnsi="Times New Roman" w:eastAsia="Times New Roman" w:cs="Times New Roman"/>
          <w:b w:val="0"/>
          <w:i w:val="0"/>
          <w:color w:val="000000"/>
        </w:rPr>
        <w:t>Практическая инженерная проблема состоит в воспроизводимой передаче числовых признаков от интерфейса к модели и обратно с сохранением смысла целевой переменной, единиц, правил подготовки данных и версии модели. Даже корректный числовой ответ может быть неверно интерпретирован, если скрыты режим демонстрации, временной горизонт или ограничения выборки. Поэтому качество дипломного результата определяется одновременно исследовательским протоколом, корректностью интеграции и понятностью представления результата.</w:t>
      </w:r>
    </w:p>
    <w:p>
      <w:pPr/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Литература показывает, что наличие нейросети само по себе не доказывает преимущество над простыми методами; особенно необходимы честные базовые решения, независимая оценка и проверка переноса между популяциями. Критический обзор и источники приведены в </w:t>
      </w:r>
      <w:hyperlink r:id="rId10">
        <w:r>
          <w:rPr>
            <w:rFonts w:ascii="Times New Roman" w:hAnsi="Times New Roman" w:eastAsia="Times New Roman" w:cs="Times New Roman"/>
            <w:b w:val="0"/>
            <w:i w:val="0"/>
            <w:color w:val="225588"/>
            <w:u w:val="single"/>
          </w:rPr>
          <w:t>обзоре литературы</w:t>
        </w:r>
      </w:hyperlink>
      <w:r>
        <w:rPr>
          <w:rFonts w:ascii="Times New Roman" w:hAnsi="Times New Roman" w:eastAsia="Times New Roman" w:cs="Times New Roman"/>
          <w:b w:val="0"/>
          <w:i w:val="0"/>
          <w:color w:val="000000"/>
        </w:rPr>
        <w:t>. Потребность конкретной пользовательской аудитории пока является гипотезой: реальных записей обсуждений в предоставленных материалах не обнаружено.</w:t>
      </w:r>
    </w:p>
    <w:p>
      <w:pPr/>
      <w:r>
        <w:rPr>
          <w:rFonts w:ascii="Times New Roman" w:hAnsi="Times New Roman" w:eastAsia="Times New Roman" w:cs="Times New Roman"/>
          <w:b w:val="0"/>
          <w:i w:val="0"/>
          <w:color w:val="000000"/>
        </w:rPr>
        <w:t>Актуальность проекта обосновывается исследованием этих ограничений и созданием проверяемого прототипа, а не обещанием клинической точности. Три независимые задачи позволяют оценить, как тип данных определяет модель, протокол проверки и способ взаимодействия с пользователем.</w:t>
      </w:r>
    </w:p>
    <w:p>
      <w:bookmarkStart w:id="3" w:name="section_003"/>
      <w:pPr>
        <w:pStyle w:val="Heading1"/>
      </w:pPr>
      <w:r>
        <w:rPr>
          <w:rFonts w:ascii="Times New Roman" w:hAnsi="Times New Roman" w:eastAsia="Times New Roman" w:cs="Times New Roman"/>
          <w:b/>
          <w:i w:val="0"/>
          <w:color w:val="000000"/>
        </w:rPr>
        <w:t>3 Пользователи и исследовательская постановка</w:t>
      </w:r>
      <w:bookmarkEnd w:id="3"/>
    </w:p>
    <w:p>
      <w:pPr/>
      <w:r>
        <w:rPr>
          <w:rFonts w:ascii="Times New Roman" w:hAnsi="Times New Roman" w:eastAsia="Times New Roman" w:cs="Times New Roman"/>
          <w:b w:val="0"/>
          <w:i w:val="0"/>
          <w:color w:val="000000"/>
        </w:rPr>
        <w:t>Предполагаемые основные пользователи — студенты и исследователи, изучающие медицинскую регрессию и интеграцию моделей. Медицинский специалист может выступать консультантом по определениям и ошибочной интерпретации, но его участие ещё не подтверждено. Пациенты не назначаются целевой аудиторией текущего демонстрационного интерфейса без дополнительной проверки потребности и условий исследования.</w:t>
      </w:r>
    </w:p>
    <w:p>
      <w:pPr/>
      <w:r>
        <w:rPr>
          <w:rFonts w:ascii="Times New Roman" w:hAnsi="Times New Roman" w:eastAsia="Times New Roman" w:cs="Times New Roman"/>
          <w:b/>
          <w:i w:val="0"/>
          <w:color w:val="000000"/>
        </w:rPr>
        <w:t>Цель: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 разработать и исследовать учебную веб-систему с независимыми модулями числового оценивания и прогнозирования медицинских показателей, обеспечивающую воспроизводимую оценку нейросетевых методов относительно базовых решений и прозрачное представление ограничений.</w:t>
      </w:r>
    </w:p>
    <w:p>
      <w:pPr/>
      <w:r>
        <w:rPr>
          <w:rFonts w:ascii="Times New Roman" w:hAnsi="Times New Roman" w:eastAsia="Times New Roman" w:cs="Times New Roman"/>
          <w:b/>
          <w:i w:val="0"/>
          <w:color w:val="000000"/>
        </w:rPr>
        <w:t>Исследовательский вопрос: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 при каких свойствах доступных табличных и продольных данных нейросетевые модели улучшают ошибку числового оценивания или краткосрочного прогноза относительно заранее определённых базовых методов, и как воспроизводимо перенести полученную модель в веб-прототип без изменения семантики входа и выхода?</w:t>
      </w:r>
    </w:p>
    <w:p>
      <w:pPr/>
      <w:r>
        <w:rPr>
          <w:rFonts w:ascii="Times New Roman" w:hAnsi="Times New Roman" w:eastAsia="Times New Roman" w:cs="Times New Roman"/>
          <w:b w:val="0"/>
          <w:i w:val="0"/>
          <w:color w:val="000000"/>
        </w:rPr>
        <w:t>Нулевая рабочая гипотеза каждого эксперимента — нейросеть не уменьшает ошибку относительно соответствующего baseline на независимом тестовом наборе. Отрицательный результат сохраняется и обсуждается. Совокупный рейтинг моделей на несопоставимых единицах трёх модулей не строится.</w:t>
      </w:r>
    </w:p>
    <w:p>
      <w:pPr/>
      <w:r>
        <w:rPr>
          <w:rFonts w:ascii="Times New Roman" w:hAnsi="Times New Roman" w:eastAsia="Times New Roman" w:cs="Times New Roman"/>
          <w:b w:val="0"/>
          <w:i w:val="0"/>
          <w:color w:val="000000"/>
        </w:rPr>
        <w:t>Задачи исследования:</w:t>
      </w:r>
    </w:p>
    <w:p>
      <w:pPr>
        <w:ind w:left="312" w:hanging="312"/>
      </w:pPr>
      <w:r>
        <w:rPr>
          <w:rFonts w:ascii="Times New Roman" w:hAnsi="Times New Roman" w:eastAsia="Times New Roman" w:cs="Times New Roman"/>
          <w:color w:val="000000"/>
        </w:rPr>
        <w:t xml:space="preserve">1. 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>Уточнить пользовательскую проблему через 3–5 реальных обсуждений либо содержательное соглашение с заказчиком.</w:t>
      </w:r>
    </w:p>
    <w:p>
      <w:pPr>
        <w:ind w:left="312" w:hanging="312"/>
      </w:pPr>
      <w:r>
        <w:rPr>
          <w:rFonts w:ascii="Times New Roman" w:hAnsi="Times New Roman" w:eastAsia="Times New Roman" w:cs="Times New Roman"/>
          <w:color w:val="000000"/>
        </w:rPr>
        <w:t xml:space="preserve">2. 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>Проанализировать публикации, существующие системы и технологические альтернативы.</w:t>
      </w:r>
    </w:p>
    <w:p>
      <w:pPr>
        <w:ind w:left="312" w:hanging="312"/>
      </w:pPr>
      <w:r>
        <w:rPr>
          <w:rFonts w:ascii="Times New Roman" w:hAnsi="Times New Roman" w:eastAsia="Times New Roman" w:cs="Times New Roman"/>
          <w:color w:val="000000"/>
        </w:rPr>
        <w:t xml:space="preserve">3. 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>Для каждого модуля определить целевую переменную, доступность признаков, единицу наблюдения, источник и ограничения данных.</w:t>
      </w:r>
    </w:p>
    <w:p>
      <w:pPr>
        <w:ind w:left="312" w:hanging="312"/>
      </w:pPr>
      <w:r>
        <w:rPr>
          <w:rFonts w:ascii="Times New Roman" w:hAnsi="Times New Roman" w:eastAsia="Times New Roman" w:cs="Times New Roman"/>
          <w:color w:val="000000"/>
        </w:rPr>
        <w:t xml:space="preserve">4. 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>Зафиксировать до обучения разделение данных, базовые методы, метрики и правила выбора модели.</w:t>
      </w:r>
    </w:p>
    <w:p>
      <w:pPr>
        <w:ind w:left="312" w:hanging="312"/>
      </w:pPr>
      <w:r>
        <w:rPr>
          <w:rFonts w:ascii="Times New Roman" w:hAnsi="Times New Roman" w:eastAsia="Times New Roman" w:cs="Times New Roman"/>
          <w:color w:val="000000"/>
        </w:rPr>
        <w:t xml:space="preserve">5. 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>Последовательно реализовать и оценить модели без использования test для настройки.</w:t>
      </w:r>
    </w:p>
    <w:p>
      <w:pPr>
        <w:ind w:left="312" w:hanging="312"/>
      </w:pPr>
      <w:r>
        <w:rPr>
          <w:rFonts w:ascii="Times New Roman" w:hAnsi="Times New Roman" w:eastAsia="Times New Roman" w:cs="Times New Roman"/>
          <w:color w:val="000000"/>
        </w:rPr>
        <w:t xml:space="preserve">6. 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>Согласовать API, валидацию и подготовку признаков; проверить численное соответствие Python и Java.</w:t>
      </w:r>
    </w:p>
    <w:p>
      <w:pPr>
        <w:ind w:left="312" w:hanging="312"/>
      </w:pPr>
      <w:r>
        <w:rPr>
          <w:rFonts w:ascii="Times New Roman" w:hAnsi="Times New Roman" w:eastAsia="Times New Roman" w:cs="Times New Roman"/>
          <w:color w:val="000000"/>
        </w:rPr>
        <w:t xml:space="preserve">7. 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>Проверить интерфейс, ошибки, приватность, понятность результата и ограничения применения.</w:t>
      </w:r>
    </w:p>
    <w:p>
      <w:pPr>
        <w:ind w:left="312" w:hanging="312"/>
      </w:pPr>
      <w:r>
        <w:rPr>
          <w:rFonts w:ascii="Times New Roman" w:hAnsi="Times New Roman" w:eastAsia="Times New Roman" w:cs="Times New Roman"/>
          <w:color w:val="000000"/>
        </w:rPr>
        <w:t xml:space="preserve">8. 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>Представить воспроизводимые артефакты и честный отчёт о границах обобщения.</w:t>
      </w:r>
    </w:p>
    <w:p>
      <w:bookmarkStart w:id="4" w:name="section_004"/>
      <w:pPr>
        <w:pStyle w:val="Heading1"/>
      </w:pPr>
      <w:r>
        <w:rPr>
          <w:rFonts w:ascii="Times New Roman" w:hAnsi="Times New Roman" w:eastAsia="Times New Roman" w:cs="Times New Roman"/>
          <w:b/>
          <w:i w:val="0"/>
          <w:color w:val="000000"/>
        </w:rPr>
        <w:t>4 Предлагаемые независимые модули</w:t>
      </w:r>
      <w:bookmarkEnd w:id="4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10" w:type="dxa"/>
          <w:right w:w="110" w:type="dxa"/>
        </w:tblCellMar>
      </w:tblPr>
      <w:tblGrid>
        <w:gridCol w:w="1880"/>
        <w:gridCol w:w="2718"/>
        <w:gridCol w:w="2351"/>
        <w:gridCol w:w="2689"/>
      </w:tblGrid>
      <w:tr>
        <w:trPr>
          <w:cantSplit/>
          <w:tblHeader/>
        </w:trPr>
        <w:tc>
          <w:tcPr>
            <w:tcW w:type="dxa" w:w="1880"/>
            <w:vAlign w:val="center"/>
            <w:shd w:fill="DCEAF7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1"/>
              </w:rPr>
              <w:t>Модуль</w:t>
            </w:r>
          </w:p>
        </w:tc>
        <w:tc>
          <w:tcPr>
            <w:tcW w:type="dxa" w:w="2718"/>
            <w:vAlign w:val="center"/>
            <w:shd w:fill="DCEAF7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1"/>
              </w:rPr>
              <w:t>Кандидат данных и цель</w:t>
            </w:r>
          </w:p>
        </w:tc>
        <w:tc>
          <w:tcPr>
            <w:tcW w:type="dxa" w:w="2351"/>
            <w:vAlign w:val="center"/>
            <w:shd w:fill="DCEAF7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1"/>
              </w:rPr>
              <w:t>План методов</w:t>
            </w:r>
          </w:p>
        </w:tc>
        <w:tc>
          <w:tcPr>
            <w:tcW w:type="dxa" w:w="2689"/>
            <w:vAlign w:val="center"/>
            <w:shd w:fill="DCEAF7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1"/>
              </w:rPr>
              <w:t>Граница интерпретации</w:t>
            </w:r>
          </w:p>
        </w:tc>
      </w:tr>
      <w:tr>
        <w:trPr>
          <w:cantSplit/>
        </w:trPr>
        <w:tc>
          <w:tcPr>
            <w:tcW w:type="dxa" w:w="1880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M1 Развитие диабета</w:t>
            </w:r>
          </w:p>
        </w:tc>
        <w:tc>
          <w:tcPr>
            <w:tcW w:type="dxa" w:w="2718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scikit-learn Diabetes; числовая целевая переменная прогрессирования через год после исходных измерений</w:t>
            </w:r>
          </w:p>
        </w:tc>
        <w:tc>
          <w:tcPr>
            <w:tcW w:type="dxa" w:w="2351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Среднее train, линейная/регуляризованная регрессия, MLP</w:t>
            </w:r>
          </w:p>
        </w:tc>
        <w:tc>
          <w:tcPr>
            <w:tcW w:type="dxa" w:w="2689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Значение целевой шкалы датасета; не диагноз, вероятность диабета или уровень глюкозы</w:t>
            </w:r>
          </w:p>
        </w:tc>
      </w:tr>
      <w:tr>
        <w:trPr>
          <w:cantSplit/>
        </w:trPr>
        <w:tc>
          <w:tcPr>
            <w:tcW w:type="dxa" w:w="1880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M2 Оценка систолического давления</w:t>
            </w:r>
          </w:p>
        </w:tc>
        <w:tc>
          <w:tcPr>
            <w:tcW w:type="dxa" w:w="2718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NHANES; оценка измеренного САД по заранее определённым доступным признакам</w:t>
            </w:r>
          </w:p>
        </w:tc>
        <w:tc>
          <w:tcPr>
            <w:tcW w:type="dxa" w:w="2351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Среднее train, регрессия, MLP</w:t>
            </w:r>
          </w:p>
        </w:tc>
        <w:tc>
          <w:tcPr>
            <w:tcW w:type="dxa" w:w="2689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мм рт. ст. (mmHg); поперечная оценка, без доказанного прогноза будущего</w:t>
            </w:r>
          </w:p>
        </w:tc>
      </w:tr>
      <w:tr>
        <w:trPr>
          <w:cantSplit/>
        </w:trPr>
        <w:tc>
          <w:tcPr>
            <w:tcW w:type="dxa" w:w="1880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M3 Прогноз глюкозы</w:t>
            </w:r>
          </w:p>
        </w:tc>
        <w:tc>
          <w:tcPr>
            <w:tcW w:type="dxa" w:w="2718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Подходящий продольный набор PhysioNet, ещё не выбран; последующее значение при достаточной истории</w:t>
            </w:r>
          </w:p>
        </w:tc>
        <w:tc>
          <w:tcPr>
            <w:tcW w:type="dxa" w:w="2351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Последнее значение/простой временной baseline, подходящая нейросеть; LSTM как кандидат</w:t>
            </w:r>
          </w:p>
        </w:tc>
        <w:tc>
          <w:tcPr>
            <w:tcW w:type="dxa" w:w="2689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Единицы по словарю данных; горизонт и частота ещё не утверждены; нерегулярные ICU-измерения не равнозначны CGM</w:t>
            </w:r>
          </w:p>
        </w:tc>
      </w:tr>
    </w:tbl>
    <w:p>
      <w:pPr/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Официальные описания кандидатов: </w:t>
      </w:r>
      <w:hyperlink r:id="rId11">
        <w:r>
          <w:rPr>
            <w:rFonts w:ascii="Times New Roman" w:hAnsi="Times New Roman" w:eastAsia="Times New Roman" w:cs="Times New Roman"/>
            <w:b w:val="0"/>
            <w:i w:val="0"/>
            <w:color w:val="225588"/>
            <w:u w:val="single"/>
          </w:rPr>
          <w:t>scikit-learn Diabetes</w:t>
        </w:r>
      </w:hyperlink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, </w:t>
      </w:r>
      <w:hyperlink r:id="rId12">
        <w:r>
          <w:rPr>
            <w:rFonts w:ascii="Times New Roman" w:hAnsi="Times New Roman" w:eastAsia="Times New Roman" w:cs="Times New Roman"/>
            <w:b w:val="0"/>
            <w:i w:val="0"/>
            <w:color w:val="225588"/>
            <w:u w:val="single"/>
          </w:rPr>
          <w:t>NHANES</w:t>
        </w:r>
      </w:hyperlink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, </w:t>
      </w:r>
      <w:hyperlink r:id="rId13">
        <w:r>
          <w:rPr>
            <w:rFonts w:ascii="Times New Roman" w:hAnsi="Times New Roman" w:eastAsia="Times New Roman" w:cs="Times New Roman"/>
            <w:b w:val="0"/>
            <w:i w:val="0"/>
            <w:color w:val="225588"/>
            <w:u w:val="single"/>
          </w:rPr>
          <w:t>каталог PhysioNet</w:t>
        </w:r>
      </w:hyperlink>
      <w:r>
        <w:rPr>
          <w:rFonts w:ascii="Times New Roman" w:hAnsi="Times New Roman" w:eastAsia="Times New Roman" w:cs="Times New Roman"/>
          <w:b w:val="0"/>
          <w:i w:val="0"/>
          <w:color w:val="000000"/>
        </w:rPr>
        <w:t>. Дата проверки источников в обзоре — 16.10.2026. Упоминание набора не означает разрешённый доступ, согласованную лицензию или выбор окончательного исследования.</w:t>
      </w:r>
    </w:p>
    <w:p>
      <w:pPr/>
      <w:r>
        <w:rPr>
          <w:rFonts w:ascii="Times New Roman" w:hAnsi="Times New Roman" w:eastAsia="Times New Roman" w:cs="Times New Roman"/>
          <w:b w:val="0"/>
          <w:i w:val="0"/>
          <w:color w:val="000000"/>
        </w:rPr>
        <w:t>Пять полей текущего демонстрационного интерфейса не задают схему трёх моделей. Например, нормализованные признаки Diabetes нельзя показывать как исходные клинические единицы без обратимого, документированного соответствия. Табличный GET-контракт не описывает последовательность измерений M3; для неё потребуется отдельное согласование схемы и UX после первой защиты.</w:t>
      </w:r>
    </w:p>
    <w:p>
      <w:bookmarkStart w:id="5" w:name="section_005"/>
      <w:pPr>
        <w:pStyle w:val="Heading1"/>
      </w:pPr>
      <w:r>
        <w:rPr>
          <w:rFonts w:ascii="Times New Roman" w:hAnsi="Times New Roman" w:eastAsia="Times New Roman" w:cs="Times New Roman"/>
          <w:b/>
          <w:i w:val="0"/>
          <w:color w:val="000000"/>
        </w:rPr>
        <w:t>5 Границы и ожидаемые результаты</w:t>
      </w:r>
      <w:bookmarkEnd w:id="5"/>
    </w:p>
    <w:p>
      <w:pPr/>
      <w:r>
        <w:rPr>
          <w:rFonts w:ascii="Times New Roman" w:hAnsi="Times New Roman" w:eastAsia="Times New Roman" w:cs="Times New Roman"/>
          <w:b w:val="0"/>
          <w:i w:val="0"/>
          <w:color w:val="000000"/>
        </w:rPr>
        <w:t>В объём дипломного проекта входят исследовательские паспорта трёх задач, сравнение с baseline, воспроизводимые эксперименты, веб-интерфейс, серверная проверка входов, интеграция по согласованному API, сообщения об ошибках и ограничения результата. Развёртывание модели планируется после подтверждения её экспериментального артефакта. Каждая следующая интеграция зависит от результатов предыдущего этапа.</w:t>
      </w:r>
    </w:p>
    <w:p>
      <w:pPr/>
      <w:r>
        <w:rPr>
          <w:rFonts w:ascii="Times New Roman" w:hAnsi="Times New Roman" w:eastAsia="Times New Roman" w:cs="Times New Roman"/>
          <w:b w:val="0"/>
          <w:i w:val="0"/>
          <w:color w:val="000000"/>
        </w:rPr>
        <w:t>Вне объёма: постановка диагноза, подбор лечения и доз инсулина, управление медицинскими устройствами, доказательство клинической эффективности, эксплуатация с реальными пациентами, сертификация, обязательная авторизация и долговременное хранение истории. Визуальные страницы аккаунта/истории существуют, но серверные действия отключены и не принимаются за готовую функциональность.</w:t>
      </w:r>
    </w:p>
    <w:p>
      <w:pPr/>
      <w:r>
        <w:rPr>
          <w:rFonts w:ascii="Times New Roman" w:hAnsi="Times New Roman" w:eastAsia="Times New Roman" w:cs="Times New Roman"/>
          <w:b w:val="0"/>
          <w:i w:val="0"/>
          <w:color w:val="000000"/>
        </w:rPr>
        <w:t>Ожидаемые результаты — согласованная спецификация; документированные данные и ограничения; сравнения baseline и нейросети отдельно по каждой задаче; перенос хотя бы первого согласованного модельного артефакта по проверяемому конвейеру; проверка интерфейса и интеграции; отчёт о воспроизводимости. Завершение всех трёх моделей — цель последующих этапов, зависимая от пригодности данных, а не обязательство предъявить их работающими 24 октября.</w:t>
      </w:r>
    </w:p>
    <w:p>
      <w:bookmarkStart w:id="6" w:name="section_006"/>
      <w:pPr>
        <w:pStyle w:val="Heading1"/>
      </w:pPr>
      <w:r>
        <w:rPr>
          <w:rFonts w:ascii="Times New Roman" w:hAnsi="Times New Roman" w:eastAsia="Times New Roman" w:cs="Times New Roman"/>
          <w:b/>
          <w:i w:val="0"/>
          <w:color w:val="000000"/>
        </w:rPr>
        <w:t>6 Подтверждённое состояние на 16 октября</w:t>
      </w:r>
      <w:bookmarkEnd w:id="6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10" w:type="dxa"/>
          <w:right w:w="110" w:type="dxa"/>
        </w:tblCellMar>
      </w:tblPr>
      <w:tblGrid>
        <w:gridCol w:w="2547"/>
        <w:gridCol w:w="3594"/>
        <w:gridCol w:w="3497"/>
      </w:tblGrid>
      <w:tr>
        <w:trPr>
          <w:cantSplit/>
          <w:tblHeader/>
        </w:trPr>
        <w:tc>
          <w:tcPr>
            <w:tcW w:type="dxa" w:w="2547"/>
            <w:vAlign w:val="center"/>
            <w:shd w:fill="DCEAF7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1"/>
              </w:rPr>
              <w:t>Область</w:t>
            </w:r>
          </w:p>
        </w:tc>
        <w:tc>
          <w:tcPr>
            <w:tcW w:type="dxa" w:w="3594"/>
            <w:vAlign w:val="center"/>
            <w:shd w:fill="DCEAF7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1"/>
              </w:rPr>
              <w:t>Свидетельство</w:t>
            </w:r>
          </w:p>
        </w:tc>
        <w:tc>
          <w:tcPr>
            <w:tcW w:type="dxa" w:w="3497"/>
            <w:vAlign w:val="center"/>
            <w:shd w:fill="DCEAF7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1"/>
              </w:rPr>
              <w:t>Статус</w:t>
            </w:r>
          </w:p>
        </w:tc>
      </w:tr>
      <w:tr>
        <w:trPr>
          <w:cantSplit/>
        </w:trPr>
        <w:tc>
          <w:tcPr>
            <w:tcW w:type="dxa" w:w="2547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React/TypeScript/Vite</w:t>
            </w:r>
          </w:p>
        </w:tc>
        <w:tc>
          <w:tcPr>
            <w:tcW w:type="dxa" w:w="3594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package.json, src/App.tsx, страницы и компоненты</w:t>
            </w:r>
          </w:p>
        </w:tc>
        <w:tc>
          <w:tcPr>
            <w:tcW w:type="dxa" w:w="3497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Реализация доступна локально</w:t>
            </w:r>
          </w:p>
        </w:tc>
      </w:tr>
      <w:tr>
        <w:trPr>
          <w:cantSplit/>
        </w:trPr>
        <w:tc>
          <w:tcPr>
            <w:tcW w:type="dxa" w:w="2547"/>
            <w:vAlign w:val="center"/>
          </w:tcPr>
          <w:p>
            <w:pPr>
              <w:keepNext w:val="0"/>
              <w:spacing w:line="252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UI/UX</w:t>
            </w:r>
          </w:p>
        </w:tc>
        <w:tc>
          <w:tcPr>
            <w:tcW w:type="dxa" w:w="3594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Код, docs/design/README.md, предоставленный Figma; локальные скриншоты</w:t>
            </w:r>
          </w:p>
        </w:tc>
        <w:tc>
          <w:tcPr>
            <w:tcW w:type="dxa" w:w="3497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Прототип существует; утверждение дизайна руководителем не подтверждено</w:t>
            </w:r>
          </w:p>
        </w:tc>
      </w:tr>
      <w:tr>
        <w:trPr>
          <w:cantSplit/>
        </w:trPr>
        <w:tc>
          <w:tcPr>
            <w:tcW w:type="dxa" w:w="2547"/>
            <w:vAlign w:val="center"/>
          </w:tcPr>
          <w:p>
            <w:pPr>
              <w:keepNext w:val="0"/>
              <w:spacing w:line="252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Демо</w:t>
            </w:r>
          </w:p>
        </w:tc>
        <w:tc>
          <w:tcPr>
            <w:tcW w:type="dxa" w:w="3594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src/api/demo.ts, src/config/indicator.ts, новый локальный проход Chromium</w:t>
            </w:r>
          </w:p>
        </w:tc>
        <w:tc>
          <w:tcPr>
            <w:tcW w:type="dxa" w:w="3497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Фиксированные 134,2 мм рт. ст.; инференс отсутствует</w:t>
            </w:r>
          </w:p>
        </w:tc>
      </w:tr>
      <w:tr>
        <w:trPr>
          <w:cantSplit/>
        </w:trPr>
        <w:tc>
          <w:tcPr>
            <w:tcW w:type="dxa" w:w="2547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Клиентский HTTP</w:t>
            </w:r>
          </w:p>
        </w:tc>
        <w:tc>
          <w:tcPr>
            <w:tcW w:type="dxa" w:w="3594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src/api/http.ts, contract.ts, API-тесты</w:t>
            </w:r>
          </w:p>
        </w:tc>
        <w:tc>
          <w:tcPr>
            <w:tcW w:type="dxa" w:w="3497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Адаптер реализован; реальная интеграция не подтверждена</w:t>
            </w:r>
          </w:p>
        </w:tc>
      </w:tr>
      <w:tr>
        <w:trPr>
          <w:cantSplit/>
        </w:trPr>
        <w:tc>
          <w:tcPr>
            <w:tcW w:type="dxa" w:w="2547"/>
            <w:vAlign w:val="center"/>
          </w:tcPr>
          <w:p>
            <w:pPr>
              <w:keepNext w:val="0"/>
              <w:spacing w:line="252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Java backend</w:t>
            </w:r>
          </w:p>
        </w:tc>
        <w:tc>
          <w:tcPr>
            <w:tcW w:type="dxa" w:w="3594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Исходников Spring Boot в данном checkout нет</w:t>
            </w:r>
          </w:p>
        </w:tc>
        <w:tc>
          <w:tcPr>
            <w:tcW w:type="dxa" w:w="3497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По сообщению команды в разработке; независимо здесь не проверен</w:t>
            </w:r>
          </w:p>
        </w:tc>
      </w:tr>
      <w:tr>
        <w:trPr>
          <w:cantSplit/>
        </w:trPr>
        <w:tc>
          <w:tcPr>
            <w:tcW w:type="dxa" w:w="2547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Модели M1 M2 M3</w:t>
            </w:r>
          </w:p>
        </w:tc>
        <w:tc>
          <w:tcPr>
            <w:tcW w:type="dxa" w:w="3594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Нет наборов обучения, весов, ноутбуков и результатов экспериментов</w:t>
            </w:r>
          </w:p>
        </w:tc>
        <w:tc>
          <w:tcPr>
            <w:tcW w:type="dxa" w:w="3497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Реализация и обучение не подтверждены; в плане ещё не выполнены</w:t>
            </w:r>
          </w:p>
        </w:tc>
      </w:tr>
      <w:tr>
        <w:trPr>
          <w:cantSplit/>
        </w:trPr>
        <w:tc>
          <w:tcPr>
            <w:tcW w:type="dxa" w:w="2547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Исследование пользователей</w:t>
            </w:r>
          </w:p>
        </w:tc>
        <w:tc>
          <w:tcPr>
            <w:tcW w:type="dxa" w:w="3594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План и явно синтетические профили/диалоги</w:t>
            </w:r>
          </w:p>
        </w:tc>
        <w:tc>
          <w:tcPr>
            <w:tcW w:type="dxa" w:w="3497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Требование реальных обсуждений PENDING</w:t>
            </w:r>
          </w:p>
        </w:tc>
      </w:tr>
      <w:tr>
        <w:trPr>
          <w:cantSplit/>
        </w:trPr>
        <w:tc>
          <w:tcPr>
            <w:tcW w:type="dxa" w:w="2547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Научное руководство</w:t>
            </w:r>
          </w:p>
        </w:tc>
        <w:tc>
          <w:tcPr>
            <w:tcW w:type="dxa" w:w="3594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ФИО Турарова Маржан Кабдыкалиевна подтверждено командой 16.10.2026</w:t>
            </w:r>
          </w:p>
        </w:tc>
        <w:tc>
          <w:tcPr>
            <w:tcW w:type="dxa" w:w="3497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Документ о назначении, отзыв и согласование PENDING</w:t>
            </w:r>
          </w:p>
        </w:tc>
      </w:tr>
    </w:tbl>
    <w:p>
      <w:pPr/>
      <w:r>
        <w:rPr>
          <w:rFonts w:ascii="Times New Roman" w:hAnsi="Times New Roman" w:eastAsia="Times New Roman" w:cs="Times New Roman"/>
          <w:b w:val="0"/>
          <w:i w:val="0"/>
          <w:color w:val="000000"/>
        </w:rPr>
        <w:t>Локальная база — commit d55ab67451511fe9960d867a9987709aca7e8edd, ветка figma-design, с существовавшими незакоммиченными материалами. Commit не идентифицирует весь новый комплект: после его проверки команда должна отдельно разрешить фиксацию и тег. Настоящая работа меняет только добавленную документацию.</w:t>
      </w:r>
    </w:p>
    <w:p>
      <w:bookmarkStart w:id="7" w:name="section_007"/>
      <w:pPr>
        <w:pStyle w:val="Heading1"/>
      </w:pPr>
      <w:r>
        <w:rPr>
          <w:rFonts w:ascii="Times New Roman" w:hAnsi="Times New Roman" w:eastAsia="Times New Roman" w:cs="Times New Roman"/>
          <w:b/>
          <w:i w:val="0"/>
          <w:color w:val="000000"/>
        </w:rPr>
        <w:t>7 Стратегия реализации и этапы</w:t>
      </w:r>
      <w:bookmarkEnd w:id="7"/>
    </w:p>
    <w:p>
      <w:pPr/>
      <w:r>
        <w:rPr>
          <w:rFonts w:ascii="Times New Roman" w:hAnsi="Times New Roman" w:eastAsia="Times New Roman" w:cs="Times New Roman"/>
          <w:b w:val="0"/>
          <w:i w:val="0"/>
          <w:color w:val="000000"/>
        </w:rPr>
        <w:t>До 24.10.2026 приоритетны подтверждение постановки и руководителя, реальные обсуждения, обзор, требования, диаграммы и план оценки. Рабочее приложение к этой дате в предоставленных требованиях AITU не обязательно.</w:t>
      </w:r>
    </w:p>
    <w:p>
      <w:pPr/>
      <w:r>
        <w:rPr>
          <w:rFonts w:ascii="Times New Roman" w:hAnsi="Times New Roman" w:eastAsia="Times New Roman" w:cs="Times New Roman"/>
          <w:b w:val="0"/>
          <w:i w:val="0"/>
          <w:color w:val="000000"/>
        </w:rPr>
        <w:t>Первый последующий прирост — M1 как ограниченная табличная задача: паспорт Diabetes, baseline, MLP, отчёт и проверка переноса. Второй — M2 после выбора цикла NHANES, правил измерения САД и доступности признаков. Третий — M3 только после проверки продольного источника, доступа, количества независимых субъектов и допустимого горизонта. Если временные данные непригодны, это документируется до обещания LSTM; решение о замене набора выносится руководителю без изменения официальной темы.</w:t>
      </w:r>
    </w:p>
    <w:p>
      <w:pPr/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Подробный календарь и исполнители приведены в </w:t>
      </w:r>
      <w:hyperlink r:id="rId14">
        <w:r>
          <w:rPr>
            <w:rFonts w:ascii="Times New Roman" w:hAnsi="Times New Roman" w:eastAsia="Times New Roman" w:cs="Times New Roman"/>
            <w:b w:val="0"/>
            <w:i w:val="0"/>
            <w:color w:val="225588"/>
            <w:u w:val="single"/>
          </w:rPr>
          <w:t>плане управления</w:t>
        </w:r>
      </w:hyperlink>
      <w:r>
        <w:rPr>
          <w:rFonts w:ascii="Times New Roman" w:hAnsi="Times New Roman" w:eastAsia="Times New Roman" w:cs="Times New Roman"/>
          <w:b w:val="0"/>
          <w:i w:val="0"/>
          <w:color w:val="000000"/>
        </w:rPr>
        <w:t>. Даты после первой защиты являются предложением команды, а не вузовским расписанием.</w:t>
      </w:r>
    </w:p>
    <w:p>
      <w:bookmarkStart w:id="8" w:name="section_008"/>
      <w:pPr>
        <w:pStyle w:val="Heading1"/>
      </w:pPr>
      <w:r>
        <w:rPr>
          <w:rFonts w:ascii="Times New Roman" w:hAnsi="Times New Roman" w:eastAsia="Times New Roman" w:cs="Times New Roman"/>
          <w:b/>
          <w:i w:val="0"/>
          <w:color w:val="000000"/>
        </w:rPr>
        <w:t>8 Риски и ограничения</w:t>
      </w:r>
      <w:bookmarkEnd w:id="8"/>
    </w:p>
    <w:p>
      <w:pPr/>
      <w:r>
        <w:rPr>
          <w:rFonts w:ascii="Times New Roman" w:hAnsi="Times New Roman" w:eastAsia="Times New Roman" w:cs="Times New Roman"/>
          <w:b w:val="0"/>
          <w:i w:val="0"/>
          <w:color w:val="000000"/>
        </w:rPr>
        <w:t>Основные риски: отсутствие реального подтверждения потребности; малый объём первого набора; утечка при разбиении; популяционное смещение NHANES и ICU-данных; отсутствие подходящей временной частоты M3; несогласованный API; несовпадение препроцессинга Python/Java; восприятие демонстрационного числа как медицинского заключения; перегрузка объёмом трёх модулей. Меры и ответственные заданы в реестре рисков.</w:t>
      </w:r>
    </w:p>
    <w:p>
      <w:pPr/>
      <w:r>
        <w:rPr>
          <w:rFonts w:ascii="Times New Roman" w:hAnsi="Times New Roman" w:eastAsia="Times New Roman" w:cs="Times New Roman"/>
          <w:b w:val="0"/>
          <w:i w:val="0"/>
          <w:color w:val="000000"/>
        </w:rPr>
        <w:t>Ограничения исследования должны сопровождать любой результат: используемая выборка, пропуски, единицы, дата и горизонт целевого измерения, ошибка baseline, неопределённость оценок, отсутствие клинической валидации. Ни готовность интерфейса, ни визуальное сходство с медицинским сервисом не подтверждают безопасность медицинского применения.</w:t>
      </w:r>
    </w:p>
    <w:p>
      <w:bookmarkStart w:id="9" w:name="section_009"/>
      <w:pPr>
        <w:pStyle w:val="Heading1"/>
      </w:pPr>
      <w:r>
        <w:rPr>
          <w:rFonts w:ascii="Times New Roman" w:hAnsi="Times New Roman" w:eastAsia="Times New Roman" w:cs="Times New Roman"/>
          <w:b/>
          <w:i w:val="0"/>
          <w:color w:val="000000"/>
        </w:rPr>
        <w:t>9 Решения для согласования</w:t>
      </w:r>
      <w:bookmarkEnd w:id="9"/>
    </w:p>
    <w:p>
      <w:pPr/>
      <w:r>
        <w:rPr>
          <w:rFonts w:ascii="Times New Roman" w:hAnsi="Times New Roman" w:eastAsia="Times New Roman" w:cs="Times New Roman"/>
          <w:b w:val="0"/>
          <w:i w:val="0"/>
          <w:color w:val="000000"/>
        </w:rPr>
        <w:t>Требуются документальное подтверждение назначения руководителя и утверждение официальной темы; согласование целевой аудитории и порядка реальных обсуждений; утверждение последовательности M1→M2→M3 и минимального результата каждого этапа; проверка паспортов данных и доступа; выбор интеграционного способа; подтверждение критериев оценки до экспериментов. Поле согласования намеренно не содержит подписи или фиктивной даты утверждения.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 w:line="269" w:lineRule="auto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69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69" w:lineRule="auto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69" w:lineRule="auto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69" w:lineRule="auto" w:after="120"/>
    </w:pPr>
    <w:rPr>
      <w:rFonts w:ascii="Times New Roman" w:hAnsi="Times New Roman"/>
      <w:b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MedPredict_Literature_Review.docx" TargetMode="External"/><Relationship Id="rId11" Type="http://schemas.openxmlformats.org/officeDocument/2006/relationships/hyperlink" Target="https://scikit-learn.org/stable/modules/generated/sklearn.datasets.load_diabetes.html" TargetMode="External"/><Relationship Id="rId12" Type="http://schemas.openxmlformats.org/officeDocument/2006/relationships/hyperlink" Target="https://www.cdc.gov/nchs/nhanes/" TargetMode="External"/><Relationship Id="rId13" Type="http://schemas.openxmlformats.org/officeDocument/2006/relationships/hyperlink" Target="https://physionet.org/about/database/" TargetMode="External"/><Relationship Id="rId14" Type="http://schemas.openxmlformats.org/officeDocument/2006/relationships/hyperlink" Target="MedPredict_Project_Management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Предложение по дипломному проекту MedPredict</dc:title>
  <dc:subject>Первая предварительная защита 24.10.2026</dc:subject>
  <dc:creator>MedPredict</dc:creator>
  <cp:keywords/>
  <dc:description>Source: docs/proposal/MedPredict_Project_Proposal.md</dc:description>
  <cp:lastModifiedBy/>
  <cp:revision>1</cp:revision>
  <dcterms:created xsi:type="dcterms:W3CDTF">2013-12-23T23:15:00Z</dcterms:created>
  <dcterms:modified xsi:type="dcterms:W3CDTF">2013-12-23T23:15:00Z</dcterms:modified>
  <cp:category/>
  <dc:identifier>medpredict-predefense-builder-v1</dc:identifier>
</cp:coreProperties>
</file>