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t>Исследование пользователей и проверка проблемы MedPredict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 xml:space="preserve">Первая предварительная защита 24.10.2026. Версия 16.10.2026. Статус университетского требования </w:t>
      </w:r>
      <w:r>
        <w:rPr>
          <w:rFonts w:ascii="Times New Roman" w:hAnsi="Times New Roman" w:eastAsia="Times New Roman" w:cs="Times New Roman"/>
          <w:b/>
          <w:i w:val="0"/>
          <w:color w:val="000000"/>
        </w:rPr>
        <w:t>PENDING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.</w:t>
      </w:r>
    </w:p>
    <w:p>
      <w:pPr>
        <w:pStyle w:val="Heading1"/>
      </w:pPr>
      <w:r>
        <w:t>Содержание</w:t>
      </w:r>
    </w:p>
    <w:p>
      <w:hyperlink w:anchor="section_001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1 Назначение и границы доказательств</w:t>
        </w:r>
      </w:hyperlink>
    </w:p>
    <w:p>
      <w:hyperlink w:anchor="section_002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2 Вопросы исследования</w:t>
        </w:r>
      </w:hyperlink>
    </w:p>
    <w:p>
      <w:hyperlink w:anchor="section_003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3 Набор участников</w:t>
        </w:r>
      </w:hyperlink>
    </w:p>
    <w:p>
      <w:hyperlink w:anchor="section_004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4 Нейтральный сценарий беседы</w:t>
        </w:r>
      </w:hyperlink>
    </w:p>
    <w:p>
      <w:hyperlink w:anchor="section_005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5 Шаблон информированного согласия</w:t>
        </w:r>
      </w:hyperlink>
    </w:p>
    <w:p>
      <w:hyperlink w:anchor="section_006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6 Шаблон протокола и сбора свидетельств</w:t>
        </w:r>
      </w:hyperlink>
    </w:p>
    <w:p>
      <w:hyperlink w:anchor="section_007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7 Матрица предположений</w:t>
        </w:r>
      </w:hyperlink>
    </w:p>
    <w:p>
      <w:hyperlink w:anchor="section_008">
        <w:r>
          <w:rPr>
            <w:rFonts w:ascii="Times New Roman" w:hAnsi="Times New Roman" w:eastAsia="Times New Roman" w:cs="Times New Roman"/>
            <w:b w:val="0"/>
            <w:i w:val="0"/>
            <w:color w:val="225588"/>
            <w:sz w:val="21"/>
            <w:u w:val="single"/>
          </w:rPr>
          <w:t>8 Критерий закрытия требования</w:t>
        </w:r>
      </w:hyperlink>
    </w:p>
    <w:p>
      <w:bookmarkStart w:id="1" w:name="section_001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1 Назначение и границы доказательств</w:t>
      </w:r>
      <w:bookmarkEnd w:id="1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Предоставленный документ AITU требует 3–5 обсуждений с реальными представителями потенциальных пользователей либо содержательное соглашение с реальным заказчиком. Настоящий документ описывает подготовленное исследование, но не заявляет его проведение. Записи, даты, цитаты, согласия и результаты реальных интервью не предоставлены.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Предполагаемая проблема — трудность проследить источник входных данных, единицы, результат и ограничения учебной медицинской модели. Это рабочая гипотеза, требующая наблюдений. Объект исследования — учебный прототип по теме «Разработка интеллектуальной системы прогнозирования медицинских показателей на основе нейронных сетей»; действующий demo выдаёт фиксированный пример.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659"/>
        <w:gridCol w:w="3499"/>
        <w:gridCol w:w="3480"/>
      </w:tblGrid>
      <w:tr>
        <w:trPr>
          <w:cantSplit/>
          <w:tblHeader/>
        </w:trPr>
        <w:tc>
          <w:tcPr>
            <w:tcW w:type="dxa" w:w="265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Категория</w:t>
            </w:r>
          </w:p>
        </w:tc>
        <w:tc>
          <w:tcPr>
            <w:tcW w:type="dxa" w:w="3499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Найденный материал</w:t>
            </w:r>
          </w:p>
        </w:tc>
        <w:tc>
          <w:tcPr>
            <w:tcW w:type="dxa" w:w="3480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Допустимый вывод</w:t>
            </w:r>
          </w:p>
        </w:tc>
      </w:tr>
      <w:tr>
        <w:trPr>
          <w:cantSplit/>
        </w:trPr>
        <w:tc>
          <w:tcPr>
            <w:tcW w:type="dxa" w:w="26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Проверенное пользовательское исследование</w:t>
            </w:r>
          </w:p>
        </w:tc>
        <w:tc>
          <w:tcPr>
            <w:tcW w:type="dxa" w:w="34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 осмотренных документах нет подлинных протоколов, согласий или соглашения с заказчиком</w:t>
            </w:r>
          </w:p>
        </w:tc>
        <w:tc>
          <w:tcPr>
            <w:tcW w:type="dxa" w:w="348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Нельзя заявлять выполненные интервью или подтверждённый спрос</w:t>
            </w:r>
          </w:p>
        </w:tc>
      </w:tr>
      <w:tr>
        <w:trPr>
          <w:cantSplit/>
        </w:trPr>
        <w:tc>
          <w:tcPr>
            <w:tcW w:type="dxa" w:w="26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Синтетическое исследование</w:t>
            </w:r>
          </w:p>
        </w:tc>
        <w:tc>
          <w:tcPr>
            <w:tcW w:type="dxa" w:w="34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docs/research/synthetic-market-study: 10 AI-профилей и диалогов, прямо помеченных как вымышленные</w:t>
            </w:r>
          </w:p>
        </w:tc>
        <w:tc>
          <w:tcPr>
            <w:tcW w:type="dxa" w:w="348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Источник гипотез и вопросов; не участники, не полевые данные</w:t>
            </w:r>
          </w:p>
        </w:tc>
      </w:tr>
      <w:tr>
        <w:trPr>
          <w:cantSplit/>
        </w:trPr>
        <w:tc>
          <w:tcPr>
            <w:tcW w:type="dxa" w:w="26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Предлагаемые интервью</w:t>
            </w:r>
          </w:p>
        </w:tc>
        <w:tc>
          <w:tcPr>
            <w:tcW w:type="dxa" w:w="34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docs/research/user-validation.md и real_world_validation_plan.md</w:t>
            </w:r>
          </w:p>
        </w:tc>
        <w:tc>
          <w:tcPr>
            <w:tcW w:type="dxa" w:w="348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Подготовка к исследованию; факт встречи не установлен</w:t>
            </w:r>
          </w:p>
        </w:tc>
      </w:tr>
      <w:tr>
        <w:trPr>
          <w:cantSplit/>
        </w:trPr>
        <w:tc>
          <w:tcPr>
            <w:tcW w:type="dxa" w:w="26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Локальные наблюдения интерфейса</w:t>
            </w:r>
          </w:p>
        </w:tc>
        <w:tc>
          <w:tcPr>
            <w:tcW w:type="dxa" w:w="34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Код и скриншоты на синтетическом примере</w:t>
            </w:r>
          </w:p>
        </w:tc>
        <w:tc>
          <w:tcPr>
            <w:tcW w:type="dxa" w:w="348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Наблюдение поведения программы; не пользовательская оценка</w:t>
            </w:r>
          </w:p>
        </w:tc>
      </w:tr>
      <w:tr>
        <w:trPr>
          <w:cantSplit/>
        </w:trPr>
        <w:tc>
          <w:tcPr>
            <w:tcW w:type="dxa" w:w="265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Внешняя литература</w:t>
            </w:r>
          </w:p>
        </w:tc>
        <w:tc>
          <w:tcPr>
            <w:tcW w:type="dxa" w:w="3499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Критический обзор публикаций</w:t>
            </w:r>
          </w:p>
        </w:tc>
        <w:tc>
          <w:tcPr>
            <w:tcW w:type="dxa" w:w="3480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Обоснование методов; не подтверждение потребности конкретной аудитории MedPredict</w:t>
            </w:r>
          </w:p>
        </w:tc>
      </w:tr>
    </w:tbl>
    <w:p>
      <w:bookmarkStart w:id="2" w:name="section_002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2 Вопросы исследования</w:t>
      </w:r>
      <w:bookmarkEnd w:id="2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Нужно выяснить, кто уже выполняет похожую задачу, как выглядит последний реальный случай, где возникают ошибки и какие последствия они имеют. Отдельно проверяются различение demo и модели, оценивания и прогноза будущего, числовой целевой переменной и диагноза. Три запланированных модуля предъявляются как концепция; участнику не предлагают оценить несуществующую точность.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Выводы 3–5 качественных обсуждений могут выявить проблемы и противоречия, но не дают оценки распространённости спроса, статистической репрезентативности или клинической безопасности.</w:t>
      </w:r>
    </w:p>
    <w:p>
      <w:bookmarkStart w:id="3" w:name="section_003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3 Набор участников</w:t>
      </w:r>
      <w:bookmarkEnd w:id="3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Санат отвечает за приглашения и проведение, Али — за вопросы о смысле показателей и анализ, Оралхан — за технические ограничения. Руководитель должен подтвердить пригодность выбранных групп и применимый университетский порядок согласия/этики до сбора данных. Эта процедура ещё не подтверждена.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326"/>
        <w:gridCol w:w="2022"/>
        <w:gridCol w:w="2693"/>
        <w:gridCol w:w="2597"/>
      </w:tblGrid>
      <w:tr>
        <w:trPr>
          <w:cantSplit/>
          <w:tblHeader/>
        </w:trPr>
        <w:tc>
          <w:tcPr>
            <w:tcW w:type="dxa" w:w="232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Роль</w:t>
            </w:r>
          </w:p>
        </w:tc>
        <w:tc>
          <w:tcPr>
            <w:tcW w:type="dxa" w:w="2022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План количества</w:t>
            </w:r>
          </w:p>
        </w:tc>
        <w:tc>
          <w:tcPr>
            <w:tcW w:type="dxa" w:w="2693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Критерий включения</w:t>
            </w:r>
          </w:p>
        </w:tc>
        <w:tc>
          <w:tcPr>
            <w:tcW w:type="dxa" w:w="259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Зачем приглашать</w:t>
            </w:r>
          </w:p>
        </w:tc>
      </w:tr>
      <w:tr>
        <w:trPr>
          <w:cantSplit/>
        </w:trPr>
        <w:tc>
          <w:tcPr>
            <w:tcW w:type="dxa" w:w="23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Студент или молодой исследователь</w:t>
            </w:r>
          </w:p>
        </w:tc>
        <w:tc>
          <w:tcPr>
            <w:tcW w:type="dxa" w:w="202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6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Совершеннолетний; недавно работал с числовыми данными или учебными ML-прототипами</w:t>
            </w:r>
          </w:p>
        </w:tc>
        <w:tc>
          <w:tcPr>
            <w:tcW w:type="dxa" w:w="25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Наблюдать основной учебный сценарий</w:t>
            </w:r>
          </w:p>
        </w:tc>
      </w:tr>
      <w:tr>
        <w:trPr>
          <w:cantSplit/>
        </w:trPr>
        <w:tc>
          <w:tcPr>
            <w:tcW w:type="dxa" w:w="23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Преподаватель или исследователь</w:t>
            </w:r>
          </w:p>
        </w:tc>
        <w:tc>
          <w:tcPr>
            <w:tcW w:type="dxa" w:w="2022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6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Проверяет отчёты, модели либо воспроизводимость экспериментов</w:t>
            </w:r>
          </w:p>
        </w:tc>
        <w:tc>
          <w:tcPr>
            <w:tcW w:type="dxa" w:w="25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Проверить полезность сведений о модели и ограничениях</w:t>
            </w:r>
          </w:p>
        </w:tc>
      </w:tr>
      <w:tr>
        <w:trPr>
          <w:cantSplit/>
        </w:trPr>
        <w:tc>
          <w:tcPr>
            <w:tcW w:type="dxa" w:w="23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Медицинский/биомедицинский консультант</w:t>
            </w:r>
          </w:p>
        </w:tc>
        <w:tc>
          <w:tcPr>
            <w:tcW w:type="dxa" w:w="202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 по доступности</w:t>
            </w:r>
          </w:p>
        </w:tc>
        <w:tc>
          <w:tcPr>
            <w:tcW w:type="dxa" w:w="26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Профессиональная компетенция в интерпретации показателей</w:t>
            </w:r>
          </w:p>
        </w:tc>
        <w:tc>
          <w:tcPr>
            <w:tcW w:type="dxa" w:w="25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Найти риски неверного понимания; не заменяет целевого пользователя</w:t>
            </w:r>
          </w:p>
        </w:tc>
      </w:tr>
      <w:tr>
        <w:trPr>
          <w:cantSplit/>
        </w:trPr>
        <w:tc>
          <w:tcPr>
            <w:tcW w:type="dxa" w:w="2326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Дополнительный представитель основной аудитории</w:t>
            </w:r>
          </w:p>
        </w:tc>
        <w:tc>
          <w:tcPr>
            <w:tcW w:type="dxa" w:w="2022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1 по доступности</w:t>
            </w:r>
          </w:p>
        </w:tc>
        <w:tc>
          <w:tcPr>
            <w:tcW w:type="dxa" w:w="2693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Имеет конкретную аналогичную задачу</w:t>
            </w:r>
          </w:p>
        </w:tc>
        <w:tc>
          <w:tcPr>
            <w:tcW w:type="dxa" w:w="259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Проверить противоречащий опыт и повторяемость проблем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Минимум три обсуждения должны быть именно с представителями выбранной пользовательской аудитории. Экспертная консультация и отзыв руководителя учитываются отдельно, если их роль не соответствует этой аудитории. Не набирать пациентов ради формального количества. Не запрашивать медицинские документы, диагнозы, контакты третьих лиц или идентификаторы пациентов.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План набора: до 18 октября сформировать список кандидатов и нейтральные приглашения; 18–20 октября провести 3–5 обсуждений по доступности и после необходимых согласований; 20–21 октября обезличить и проанализировать; 21–22 октября обсудить противоречия и изменения требований. Это предлагаемые сроки, встречи не назначены. При недоборе честно сохранить PENDING.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Шаблон приглашения для ручного использования командой: «Мы готовим учебный проект MedPredict и изучаем, как люди работают с числовыми прогнозами в исследовательских задачах. Приглашаем на добровольную беседу на 25–35 минут и просмотр прототипа на вымышленных данных. Личные медицинские сведения не нужны. Участие не предполагает медицинской консультации». Приглашения в рамках подготовки документов не отправлялись.</w:t>
      </w:r>
    </w:p>
    <w:p>
      <w:bookmarkStart w:id="4" w:name="section_004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4 Нейтральный сценарий беседы</w:t>
      </w:r>
      <w:bookmarkEnd w:id="4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Продолжительность 25–35 минут. Начать с объяснения исследования и отдельного согласия на заметки/запись. Не показывать прототип до обсуждения текущей практики, чтобы меньше навязывать формулировку проблемы.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Чем вы занимаетесь и когда в последний раз работали с числовым прогнозом или оценкой показателя?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Опишите последний конкретный случай от получения данных до обсуждения результата. Какие инструменты вы использовали?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Какие сведения пришлось уточнять? Что было непонятно или заняло больше времени?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Как вы проверяли единицы, происхождение данных, смысл результата и его ограничения?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Были ли ошибки или разногласия? Что вы сделали после этого? Что работало достаточно хорошо?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Какие сведения помогли бы повторить этот расчёт другому человеку? Какие сведения были лишними?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7.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Покажите на синтетическом примере: найдите назначение MedPredict и объясните, что означает режим demo.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8.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Откройте форму, исправьте одну намеренно оставленную ошибку и получите демонстрационный результат. Рассуждайте вслух, если удобно.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9.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Объясните своими словами число 134,2. Зависит ли оно в этой демонстрации от ваших данных? Можно ли считать его диагнозом?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10.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Что изменилось бы в вашей интерпретации, если бы это был настоящий ответ модели? Какие сведения потребовались бы?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11.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Чем для вас отличаются числовая шкала развития диабета, оценка текущего давления и прогноз следующего значения глюкозы?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12.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В какой ситуации вы не стали бы использовать такой инструмент? Какие альтернативы подходят лучше?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13.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Что вы хотели бы уточнить или опровергнуть в нашей постановке? Можно ли связаться повторно через отдельно согласованный канал?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Не спрашивать «Насколько вам нравится полезный сервис?» или «Нужна ли вам наша нейросеть?». Если участник не понял disclaimer, записать его первое объяснение дословно при разрешении, а затем разъяснить границы; не подменять первоначальный ответ исправленным.</w:t>
      </w:r>
    </w:p>
    <w:p>
      <w:bookmarkStart w:id="5" w:name="section_005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5 Шаблон информированного согласия</w:t>
      </w:r>
      <w:bookmarkEnd w:id="5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Заполняется до беседы. Пока не подписан и не подтверждает участие.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Название исследования: изучение пользовательских задач и понятности учебного прототипа MedPredict. Команда и контакт ответственного: [заполнить реальный контакт Саната]. Руководитель и университетский контакт по исследованию: [подтвердить]. Дата, версия информационного листа, код участника: [заполнить].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Участие добровольное. Можно пропустить вопрос или остановиться без объяснения причин. Личные медицинские сведения не требуются. Демонстрация использует вымышленные значения и не является консультацией. Планируемые материалы — обезличенные заметки; цель использования — дипломная работа и предварительная защита. Доступ получают указанные члены команды и руководитель; открытый GitHub содержит только обезличенное обобщение после согласования.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Срок хранения, место защищённого хранения, порядок удаления и дата, до которой возможен отзыв материалов: [согласовать и заполнить до приглашения]. После окончательного обезличивания отделить конкретный фрагмент может быть невозможно; объяснить это заранее. Согласия и контакты хранятся отдельно от аналитических кодов и не помещаются в публичный репозиторий.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Отдельные решения участника, без заранее выбранного ответа: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Согласен на беседу и обезличенные заметки: [да / нет].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Согласен на аудиозапись: [да / нет]; отказ не мешает участию, если заметок достаточно.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Разрешаю обезличенные короткие цитаты в дипломных материалах: [да / нет].</w:t>
      </w:r>
    </w:p>
    <w:p>
      <w:pPr>
        <w:ind w:left="312" w:hanging="312"/>
      </w:pPr>
      <w:r>
        <w:rPr>
          <w:rFonts w:ascii="Times New Roman" w:hAnsi="Times New Roman" w:eastAsia="Times New Roman" w:cs="Times New Roman"/>
          <w:color w:val="000000"/>
        </w:rPr>
        <w:t xml:space="preserve">•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t>Разрешаю повторное приглашение по отдельному контакту: [да / нет].</w:t>
      </w:r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Подтверждение участника и исследователя, способ фиксации, дата: [заполнить в согласованном университетом формате]. Это шаблон исследовательской процедуры, не утверждение полученного этического разрешения.</w:t>
      </w:r>
    </w:p>
    <w:p>
      <w:bookmarkStart w:id="6" w:name="section_006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6 Шаблон протокола и сбора свидетельств</w:t>
      </w:r>
      <w:bookmarkEnd w:id="6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Код записи REAL-01, дата и часовой пояс, роль без имени, соответствие критериям, интервьюер, формат и длительность: [заполнить]. Основание согласия и место его хранения: [закрытая ссылка]. Опыт, наблюдавшаяся задача и контекст: [заполнить].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4371"/>
        <w:gridCol w:w="5267"/>
      </w:tblGrid>
      <w:tr>
        <w:trPr>
          <w:cantSplit/>
          <w:tblHeader/>
        </w:trPr>
        <w:tc>
          <w:tcPr>
            <w:tcW w:type="dxa" w:w="4371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Поле наблюдения</w:t>
            </w:r>
          </w:p>
        </w:tc>
        <w:tc>
          <w:tcPr>
            <w:tcW w:type="dxa" w:w="5267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Содержание после реальной беседы</w:t>
            </w:r>
          </w:p>
        </w:tc>
      </w:tr>
      <w:tr>
        <w:trPr>
          <w:cantSplit/>
        </w:trPr>
        <w:tc>
          <w:tcPr>
            <w:tcW w:type="dxa" w:w="43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Текущий рабочий процесс и инструмент</w:t>
            </w:r>
          </w:p>
        </w:tc>
        <w:tc>
          <w:tcPr>
            <w:tcW w:type="dxa" w:w="526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[факт или точная разрешённая цитата]</w:t>
            </w:r>
          </w:p>
        </w:tc>
      </w:tr>
      <w:tr>
        <w:trPr>
          <w:cantSplit/>
        </w:trPr>
        <w:tc>
          <w:tcPr>
            <w:tcW w:type="dxa" w:w="43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Проблема и последствие</w:t>
            </w:r>
          </w:p>
        </w:tc>
        <w:tc>
          <w:tcPr>
            <w:tcW w:type="dxa" w:w="526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[наблюдение; отделить от интерпретации интервьюера]</w:t>
            </w:r>
          </w:p>
        </w:tc>
      </w:tr>
      <w:tr>
        <w:trPr>
          <w:cantSplit/>
        </w:trPr>
        <w:tc>
          <w:tcPr>
            <w:tcW w:type="dxa" w:w="43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Противоречащий пример</w:t>
            </w:r>
          </w:p>
        </w:tc>
        <w:tc>
          <w:tcPr>
            <w:tcW w:type="dxa" w:w="526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[что не поддерживает исходную гипотезу]</w:t>
            </w:r>
          </w:p>
        </w:tc>
      </w:tr>
      <w:tr>
        <w:trPr>
          <w:cantSplit/>
        </w:trPr>
        <w:tc>
          <w:tcPr>
            <w:tcW w:type="dxa" w:w="43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Попытка задания в прототипе</w:t>
            </w:r>
          </w:p>
        </w:tc>
        <w:tc>
          <w:tcPr>
            <w:tcW w:type="dxa" w:w="526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[действия, ошибки, помощь, завершение]</w:t>
            </w:r>
          </w:p>
        </w:tc>
      </w:tr>
      <w:tr>
        <w:trPr>
          <w:cantSplit/>
        </w:trPr>
        <w:tc>
          <w:tcPr>
            <w:tcW w:type="dxa" w:w="43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Понимание demo и ограничений</w:t>
            </w:r>
          </w:p>
        </w:tc>
        <w:tc>
          <w:tcPr>
            <w:tcW w:type="dxa" w:w="526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[первый ответ участника; без вымышленного результата]</w:t>
            </w:r>
          </w:p>
        </w:tc>
      </w:tr>
      <w:tr>
        <w:trPr>
          <w:cantSplit/>
        </w:trPr>
        <w:tc>
          <w:tcPr>
            <w:tcW w:type="dxa" w:w="43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Предлагаемая связь с требованием</w:t>
            </w:r>
          </w:p>
        </w:tc>
        <w:tc>
          <w:tcPr>
            <w:tcW w:type="dxa" w:w="526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[FR/NFR; поддержать, изменить или отвергнуть]</w:t>
            </w:r>
          </w:p>
        </w:tc>
      </w:tr>
      <w:tr>
        <w:trPr>
          <w:cantSplit/>
        </w:trPr>
        <w:tc>
          <w:tcPr>
            <w:tcW w:type="dxa" w:w="4371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Уровень уверенности и следующий шаг</w:t>
            </w:r>
          </w:p>
        </w:tc>
        <w:tc>
          <w:tcPr>
            <w:tcW w:type="dxa" w:w="5267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[ограничение свидетельства и дополнительная проверка]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Не хранить имена в названии файла. Код REAL не выдаётся синтетическим диалогам. Оригиналы согласий/аудио не включать в публичный Git; в дипломном приложении хранить обезличенный протокол и описание доступности подлинника для разрешённой проверки.</w:t>
      </w:r>
    </w:p>
    <w:p>
      <w:bookmarkStart w:id="7" w:name="section_007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7 Матрица предположений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2006"/>
        <w:gridCol w:w="2408"/>
        <w:gridCol w:w="2465"/>
        <w:gridCol w:w="2758"/>
      </w:tblGrid>
      <w:tr>
        <w:trPr>
          <w:cantSplit/>
          <w:tblHeader/>
        </w:trPr>
        <w:tc>
          <w:tcPr>
            <w:tcW w:type="dxa" w:w="2006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ID</w:t>
            </w:r>
          </w:p>
        </w:tc>
        <w:tc>
          <w:tcPr>
            <w:tcW w:type="dxa" w:w="240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Непроверенное предположение</w:t>
            </w:r>
          </w:p>
        </w:tc>
        <w:tc>
          <w:tcPr>
            <w:tcW w:type="dxa" w:w="2465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Возможное опровержение</w:t>
            </w:r>
          </w:p>
        </w:tc>
        <w:tc>
          <w:tcPr>
            <w:tcW w:type="dxa" w:w="2758"/>
            <w:vAlign w:val="center"/>
            <w:shd w:fill="DCEAF7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1"/>
              </w:rPr>
              <w:t>Данные и решение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H01</w:t>
            </w:r>
          </w:p>
        </w:tc>
        <w:tc>
          <w:tcPr>
            <w:tcW w:type="dxa" w:w="24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Основная аудитория — учебные исследователи</w:t>
            </w:r>
          </w:p>
        </w:tc>
        <w:tc>
          <w:tcPr>
            <w:tcW w:type="dxa" w:w="24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Нет похожей текущей задачи или достаточны ноутбуки</w:t>
            </w:r>
          </w:p>
        </w:tc>
        <w:tc>
          <w:tcPr>
            <w:tcW w:type="dxa" w:w="27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Конкретные последние случаи в ≥3 целевых беседах; уточнить аудиторию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H02</w:t>
            </w:r>
          </w:p>
        </w:tc>
        <w:tc>
          <w:tcPr>
            <w:tcW w:type="dxa" w:w="24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Неясные единицы/версия мешают воспроизводимости</w:t>
            </w:r>
          </w:p>
        </w:tc>
        <w:tc>
          <w:tcPr>
            <w:tcW w:type="dxa" w:w="24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Участники уже получают достаточный контекст</w:t>
            </w:r>
          </w:p>
        </w:tc>
        <w:tc>
          <w:tcPr>
            <w:tcW w:type="dxa" w:w="27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Наблюдение рабочего процесса; уточнить FR-02/07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H03</w:t>
            </w:r>
          </w:p>
        </w:tc>
        <w:tc>
          <w:tcPr>
            <w:tcW w:type="dxa" w:w="24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Обозначение demo понятно</w:t>
            </w:r>
          </w:p>
        </w:tc>
        <w:tc>
          <w:tcPr>
            <w:tcW w:type="dxa" w:w="24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Число принимают за персональный прогноз</w:t>
            </w:r>
          </w:p>
        </w:tc>
        <w:tc>
          <w:tcPr>
            <w:tcW w:type="dxa" w:w="27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Первое объяснение результата; пересмотреть FR-01 и NFR-07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H04</w:t>
            </w:r>
          </w:p>
        </w:tc>
        <w:tc>
          <w:tcPr>
            <w:tcW w:type="dxa" w:w="24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Ошибку ввода можно исправить самостоятельно</w:t>
            </w:r>
          </w:p>
        </w:tc>
        <w:tc>
          <w:tcPr>
            <w:tcW w:type="dxa" w:w="24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Не находится поле или смысл ошибки</w:t>
            </w:r>
          </w:p>
        </w:tc>
        <w:tc>
          <w:tcPr>
            <w:tcW w:type="dxa" w:w="27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Задание с пустой формой; проверить FR-03/06 и NFR-03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H05</w:t>
            </w:r>
          </w:p>
        </w:tc>
        <w:tc>
          <w:tcPr>
            <w:tcW w:type="dxa" w:w="24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Три модуля полезны одной аудитории</w:t>
            </w:r>
          </w:p>
        </w:tc>
        <w:tc>
          <w:tcPr>
            <w:tcW w:type="dxa" w:w="24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Сценарии и данные слишком различаются</w:t>
            </w:r>
          </w:p>
        </w:tc>
        <w:tc>
          <w:tcPr>
            <w:tcW w:type="dxa" w:w="27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Обсудить каждый модуль отдельно; сохранить поэтапность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H06</w:t>
            </w:r>
          </w:p>
        </w:tc>
        <w:tc>
          <w:tcPr>
            <w:tcW w:type="dxa" w:w="24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PDF нужен для учебного обсуждения</w:t>
            </w:r>
          </w:p>
        </w:tc>
        <w:tc>
          <w:tcPr>
            <w:tcW w:type="dxa" w:w="24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Проще использовать ссылку или ноутбук</w:t>
            </w:r>
          </w:p>
        </w:tc>
        <w:tc>
          <w:tcPr>
            <w:tcW w:type="dxa" w:w="27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Последний реальный процесс передачи результатов; уточнить приоритет FR-08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H07</w:t>
            </w:r>
          </w:p>
        </w:tc>
        <w:tc>
          <w:tcPr>
            <w:tcW w:type="dxa" w:w="24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Памяти вкладки достаточно</w:t>
            </w:r>
          </w:p>
        </w:tc>
        <w:tc>
          <w:tcPr>
            <w:tcW w:type="dxa" w:w="24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Нужны продолжение сессии или проверяемый архив</w:t>
            </w:r>
          </w:p>
        </w:tc>
        <w:tc>
          <w:tcPr>
            <w:tcW w:type="dxa" w:w="27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Контекст без сбора реальных показателей; отдельное решение о хранении</w:t>
            </w:r>
          </w:p>
        </w:tc>
      </w:tr>
      <w:tr>
        <w:trPr>
          <w:cantSplit/>
        </w:trPr>
        <w:tc>
          <w:tcPr>
            <w:tcW w:type="dxa" w:w="2006"/>
            <w:vAlign w:val="center"/>
          </w:tcPr>
          <w:p>
            <w:pPr>
              <w:keepNext w:val="0"/>
              <w:spacing w:line="252" w:lineRule="auto" w:after="4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H08</w:t>
            </w:r>
          </w:p>
        </w:tc>
        <w:tc>
          <w:tcPr>
            <w:tcW w:type="dxa" w:w="240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Числовой результат не воспринимают как диагноз</w:t>
            </w:r>
          </w:p>
        </w:tc>
        <w:tc>
          <w:tcPr>
            <w:tcW w:type="dxa" w:w="2465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Участник предлагает медицинское действие</w:t>
            </w:r>
          </w:p>
        </w:tc>
        <w:tc>
          <w:tcPr>
            <w:tcW w:type="dxa" w:w="2758"/>
            <w:vAlign w:val="center"/>
          </w:tcPr>
          <w:p>
            <w:pPr>
              <w:keepNext w:val="0"/>
              <w:spacing w:line="252" w:lineRule="auto" w:after="4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1"/>
              </w:rPr>
              <w:t>Отдельная проверка понимания; исправление текста после исследования</w:t>
            </w:r>
          </w:p>
        </w:tc>
      </w:tr>
    </w:tbl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Числа в плане не являются результатами. Для каждой гипотезы после интервью фиксируются поддерживающие и опровергающие фрагменты, число обсуждений с релевантным опытом и ограничения. Частоту ответов в 3–5 обсуждениях не экстраполировать на рынок.</w:t>
      </w:r>
    </w:p>
    <w:p>
      <w:bookmarkStart w:id="8" w:name="section_008"/>
      <w:pPr>
        <w:pStyle w:val="Heading1"/>
      </w:pPr>
      <w:r>
        <w:rPr>
          <w:rFonts w:ascii="Times New Roman" w:hAnsi="Times New Roman" w:eastAsia="Times New Roman" w:cs="Times New Roman"/>
          <w:b/>
          <w:i w:val="0"/>
          <w:color w:val="000000"/>
        </w:rPr>
        <w:t>8 Критерий закрытия требования</w:t>
      </w:r>
      <w:bookmarkEnd w:id="8"/>
    </w:p>
    <w:p>
      <w:pPr/>
      <w:r>
        <w:rPr>
          <w:rFonts w:ascii="Times New Roman" w:hAnsi="Times New Roman" w:eastAsia="Times New Roman" w:cs="Times New Roman"/>
          <w:b w:val="0"/>
          <w:i w:val="0"/>
          <w:color w:val="000000"/>
        </w:rPr>
        <w:t>Требование считается выполненным после появления 3–5 подлинных обезличенных содержательных записей с подтверждением согласия либо реального соглашения с заказчиком, в котором описаны процесс, проблема, роли и ожидаемый результат. Нужна матрица «наблюдение → решение → требование», включая отклонённые гипотезы, и просмотр выводов командой/руководителем. Подготовленные шаблоны, AI-диалоги и календарный план этому критерию не равны.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Times New Roman" w:hAnsi="Times New Roman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пользователей и проверка проблемы MedPredict</dc:title>
  <dc:subject>Первая предварительная защита 24.10.2026</dc:subject>
  <dc:creator>MedPredict</dc:creator>
  <cp:keywords/>
  <dc:description>Source: docs/research/MedPredict_User_Research.md</dc:description>
  <cp:lastModifiedBy/>
  <cp:revision>1</cp:revision>
  <dcterms:created xsi:type="dcterms:W3CDTF">2013-12-23T23:15:00Z</dcterms:created>
  <dcterms:modified xsi:type="dcterms:W3CDTF">2013-12-23T23:15:00Z</dcterms:modified>
  <cp:category/>
  <dc:identifier>medpredict-predefense-builder-v1</dc:identifier>
</cp:coreProperties>
</file>