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 w:cs="Times New Roman"/>
          <w:b w:val="0"/>
          <w:i w:val="0"/>
          <w:color w:val="000000"/>
        </w:rPr>
        <w:t>Критический обзор литературы MedPredict</w:t>
      </w:r>
    </w:p>
    <w:p>
      <w:pPr/>
      <w:r>
        <w:rPr>
          <w:rFonts w:ascii="Times New Roman" w:hAnsi="Times New Roman" w:eastAsia="Times New Roman" w:cs="Times New Roman"/>
          <w:b/>
          <w:i w:val="0"/>
          <w:color w:val="000000"/>
        </w:rPr>
        <w:t>Официальная тема дипломного проекта: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«Разработка интеллектуальной системы прогнозирования медицинских показателей на основе нейронных сетей».</w:t>
      </w:r>
    </w:p>
    <w:p>
      <w:pPr/>
      <w:r>
        <w:rPr>
          <w:rFonts w:ascii="Times New Roman" w:hAnsi="Times New Roman" w:eastAsia="Times New Roman" w:cs="Times New Roman"/>
          <w:b/>
          <w:i w:val="0"/>
          <w:color w:val="000000"/>
        </w:rPr>
        <w:t>Astana IT University · Software Engineering · SE-2409.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Документ для первой предварительной защиты 24 октября 2026 года. Версия и дата проверки источников: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16.10.2026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.</w:t>
      </w:r>
    </w:p>
    <w:p>
      <w:pPr>
        <w:pStyle w:val="Heading1"/>
      </w:pPr>
      <w:r>
        <w:t>Содержание</w:t>
      </w:r>
    </w:p>
    <w:p>
      <w:hyperlink w:anchor="section_001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1. Назначение и исследовательский вопрос</w:t>
        </w:r>
      </w:hyperlink>
    </w:p>
    <w:p>
      <w:hyperlink w:anchor="section_002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2. Метод отбора и проверяемость</w:t>
        </w:r>
      </w:hyperlink>
    </w:p>
    <w:p>
      <w:hyperlink w:anchor="section_003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3. Структурированное сопоставление научных публикаций</w:t>
        </w:r>
      </w:hyperlink>
    </w:p>
    <w:p>
      <w:hyperlink w:anchor="section_004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4. Документация данных и инженерные основания</w:t>
        </w:r>
      </w:hyperlink>
    </w:p>
    <w:p>
      <w:hyperlink w:anchor="section_005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5. Критический синтез</w:t>
        </w:r>
      </w:hyperlink>
    </w:p>
    <w:p>
      <w:hyperlink w:anchor="section_012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6. Решения, которые требуется принять до обучения</w:t>
        </w:r>
      </w:hyperlink>
    </w:p>
    <w:p>
      <w:hyperlink w:anchor="section_013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7. Библиографический список и проверка источников</w:t>
        </w:r>
      </w:hyperlink>
    </w:p>
    <w:p>
      <w:hyperlink w:anchor="section_014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8. Журнал поиска и ограничения обзора</w:t>
        </w:r>
      </w:hyperlink>
    </w:p>
    <w:p>
      <w:pPr>
        <w:keepNext w:val="0"/>
        <w:spacing w:before="0" w:after="0" w:line="20" w:lineRule="exact"/>
        <w:sectPr>
          <w:footerReference w:type="default" r:id="rId9"/>
          <w:pgSz w:w="11906" w:h="16838"/>
          <w:pgMar w:top="1020" w:right="1134" w:bottom="1020" w:left="1134" w:header="454" w:footer="454" w:gutter="0"/>
          <w:cols w:space="720"/>
          <w:docGrid w:linePitch="360"/>
        </w:sectPr>
      </w:pPr>
      <w:r>
        <w:rPr>
          <w:rFonts w:ascii="Times New Roman" w:hAnsi="Times New Roman" w:eastAsia="Times New Roman" w:cs="Times New Roman"/>
          <w:color w:val="000000"/>
          <w:sz w:val="2"/>
        </w:rPr>
      </w:r>
    </w:p>
    <w:p>
      <w:bookmarkStart w:id="1" w:name="section_001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1. Назначение и исследовательский вопрос</w:t>
      </w:r>
      <w:bookmarkEnd w:id="1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Цель обзора — обосновать исследовательскую постановку MedPredict, выбор сопоставимых базовых методов и требования к данным, оценке и интеграции нейросетевых моделей. Обзор охватывает три независимых предполагаемых модуля; официальная тема не сужается до одной болезни или одного показателя.</w:t>
      </w:r>
    </w:p>
    <w:p>
      <w:pPr/>
      <w:r>
        <w:rPr>
          <w:rFonts w:ascii="Times New Roman" w:hAnsi="Times New Roman" w:eastAsia="Times New Roman" w:cs="Times New Roman"/>
          <w:b/>
          <w:i w:val="0"/>
          <w:color w:val="000000"/>
        </w:rPr>
        <w:t>Исследовательский вопрос: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при каких определениях целевой переменной, свойствах данных и процедурах проверки сравнение нейронной сети с простым базовым методом позволяет получить воспроизводимый результат для каждого из трёх модулей MedPredict?</w:t>
      </w:r>
    </w:p>
    <w:p>
      <w:pPr>
        <w:pStyle w:val="Caption"/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</w:rPr>
        <w:t>Таблица 1 — Различия исследовательских задач.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337"/>
        <w:gridCol w:w="2667"/>
        <w:gridCol w:w="3612"/>
        <w:gridCol w:w="2975"/>
        <w:gridCol w:w="2979"/>
      </w:tblGrid>
      <w:tr>
        <w:trPr>
          <w:cantSplit/>
          <w:tblHeader/>
        </w:trPr>
        <w:tc>
          <w:tcPr>
            <w:tcW w:type="dxa" w:w="2337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Модуль</w:t>
            </w:r>
          </w:p>
        </w:tc>
        <w:tc>
          <w:tcPr>
            <w:tcW w:type="dxa" w:w="2667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Предлагаемый источник</w:t>
            </w:r>
          </w:p>
        </w:tc>
        <w:tc>
          <w:tcPr>
            <w:tcW w:type="dxa" w:w="3612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Целевая переменная и время</w:t>
            </w:r>
          </w:p>
        </w:tc>
        <w:tc>
          <w:tcPr>
            <w:tcW w:type="dxa" w:w="2975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Предлагаемое сравнение</w:t>
            </w:r>
          </w:p>
        </w:tc>
        <w:tc>
          <w:tcPr>
            <w:tcW w:type="dxa" w:w="2979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Статус на 16.10.2026</w:t>
            </w:r>
          </w:p>
        </w:tc>
      </w:tr>
      <w:tr>
        <w:trPr>
          <w:cantSplit/>
        </w:trPr>
        <w:tc>
          <w:tcPr>
            <w:tcW w:type="dxa" w:w="233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M1. Diabetes Progression</w:t>
            </w:r>
          </w:p>
        </w:tc>
        <w:tc>
          <w:tcPr>
            <w:tcW w:type="dxa" w:w="266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scikit-learn Diabetes</w:t>
            </w:r>
          </w:p>
        </w:tc>
        <w:tc>
          <w:tcPr>
            <w:tcW w:type="dxa" w:w="361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Численный показатель прогрессирования из набора; документация определяет исход через год после исходного обследования [L01, L13]. Это не диагноз и не вероятность диабета</w:t>
            </w:r>
          </w:p>
        </w:tc>
        <w:tc>
          <w:tcPr>
            <w:tcW w:type="dxa" w:w="297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Константная и линейная/регуляризованная регрессия против MLP</w:t>
            </w:r>
          </w:p>
        </w:tc>
        <w:tc>
          <w:tcPr>
            <w:tcW w:type="dxa" w:w="297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Предложен; модель, эксперимент и интеграция не представлены</w:t>
            </w:r>
          </w:p>
        </w:tc>
      </w:tr>
      <w:tr>
        <w:trPr>
          <w:cantSplit/>
        </w:trPr>
        <w:tc>
          <w:tcPr>
            <w:tcW w:type="dxa" w:w="233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M2. Оценка систолического артериального давления (САД)</w:t>
            </w:r>
          </w:p>
        </w:tc>
        <w:tc>
          <w:tcPr>
            <w:tcW w:type="dxa" w:w="266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NHANES, цикл и состав признаков предстоит утвердить</w:t>
            </w:r>
          </w:p>
        </w:tc>
        <w:tc>
          <w:tcPr>
            <w:tcW w:type="dxa" w:w="361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САД в мм рт. ст. при обследовании. Поперечные данные сами по себе не задают прогноз будущего давления [L14]</w:t>
            </w:r>
          </w:p>
        </w:tc>
        <w:tc>
          <w:tcPr>
            <w:tcW w:type="dxa" w:w="297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Константная и линейная регрессия против MLP</w:t>
            </w:r>
          </w:p>
        </w:tc>
        <w:tc>
          <w:tcPr>
            <w:tcW w:type="dxa" w:w="297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Предложен; модель, эксперимент и интеграция не представлены</w:t>
            </w:r>
          </w:p>
        </w:tc>
      </w:tr>
      <w:tr>
        <w:trPr>
          <w:cantSplit/>
        </w:trPr>
        <w:tc>
          <w:tcPr>
            <w:tcW w:type="dxa" w:w="233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M3. Прогноз глюкозы</w:t>
            </w:r>
          </w:p>
        </w:tc>
        <w:tc>
          <w:tcPr>
            <w:tcW w:type="dxa" w:w="266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Подходящий продольный набор PhysioNet; конкретный набор не утверждён</w:t>
            </w:r>
          </w:p>
        </w:tc>
        <w:tc>
          <w:tcPr>
            <w:tcW w:type="dxa" w:w="361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Будущее значение глюкозы при наличии временных меток и достаточной истории. Горизонт не утверждён</w:t>
            </w:r>
          </w:p>
        </w:tc>
        <w:tc>
          <w:tcPr>
            <w:tcW w:type="dxa" w:w="297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Сохранение последнего значения/временная базовая модель против подходящей нейросети, потенциально LSTM</w:t>
            </w:r>
          </w:p>
        </w:tc>
        <w:tc>
          <w:tcPr>
            <w:tcW w:type="dxa" w:w="297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Предложен; доступность и пригодность данных, горизонт, модель и интеграция не подтверждены</w:t>
            </w:r>
          </w:p>
        </w:tc>
      </w:tr>
    </w:tbl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В существующем frontend демонстрационное значение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134,2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фиксировано и не вычисляется обученной моделью. Оно не включается в научные результаты. Выбор модуля, обучение трёх моделей и работа всей цепочки с Java backend не подтверждаются наличием демонстрационной формы. Данный обзор не сообщает собственных экспериментальных или клинических результатов.</w:t>
      </w:r>
    </w:p>
    <w:p>
      <w:pPr>
        <w:keepNext w:val="0"/>
        <w:spacing w:before="0" w:after="0" w:line="20" w:lineRule="exact"/>
        <w:sectPr>
          <w:pgSz w:w="16838" w:h="11906" w:orient="landscape"/>
          <w:pgMar w:top="1020" w:right="1134" w:bottom="1020" w:left="1134" w:header="454" w:footer="454" w:gutter="0"/>
          <w:cols w:space="720"/>
          <w:docGrid w:linePitch="360"/>
        </w:sectPr>
      </w:pPr>
      <w:r>
        <w:rPr>
          <w:rFonts w:ascii="Times New Roman" w:hAnsi="Times New Roman" w:eastAsia="Times New Roman" w:cs="Times New Roman"/>
          <w:color w:val="000000"/>
          <w:sz w:val="2"/>
        </w:rPr>
      </w:r>
    </w:p>
    <w:p>
      <w:bookmarkStart w:id="2" w:name="section_002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2. Метод отбора и проверяемость</w:t>
      </w:r>
      <w:bookmarkEnd w:id="2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Проведён целевой обзор области с критическим сопоставлением, а не систематический обзор или метаанализ. Основные направления поиска: табличная медицинская регрессия; нейросети и базовые методы; прогноз физиологических временных рядов; документация данных; внешняя оценка; объяснимость; перенос и техническая интеграция. Использованы веб-поиск и открытие первичных публикаций, официальных кодбуков и документации; библиографические сведения дополнительно проверены по PubMed и академическим страницам авторов/издателей.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Приоритетный период — 16.10.2021–16.10.2026. Работа Efron et al. [L01] сохранена как первоисточник алгоритма и используемого Diabetes-примера; публикации о данных и переносе начала 2021 года [L06, L12] сохранены из-за прямой применимости.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Включены 17 источников, из них 12 научных публикаций; 9 из 12 научных публикаций находятся внутри указанного пятилетнего периода.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Научная группа включает исследования методов и моделей, описание данных, методические руководства и две аналитические публикации; они не приравниваются к 12 клиническим экспериментам. Официальные ресурсы [L13–L17] отдельно обосновывают сведения о данных, интеграции и этике.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Критерии включения: проверяемое название, авторство, год и DOI/официальный URL; содержательная связь с задачами MedPredict; возможность установить вид исхода и границы выводов. Страницы одной публикации и её DOI не считались разными научными источниками. Работы по распознаванию диагноза не использовались как доказательство качества численной регрессии; модели по ECG/PPG не переносились на форму с табличными признаками. Результаты поиска не выгружались полностью, число просмотренных и исключённых записей не подсчитывалось, PRISMA-полнота не заявляется.</w:t>
      </w:r>
    </w:p>
    <w:p>
      <w:pPr>
        <w:keepNext w:val="0"/>
        <w:spacing w:before="0" w:after="0" w:line="20" w:lineRule="exact"/>
        <w:sectPr>
          <w:pgSz w:w="11906" w:h="16838"/>
          <w:pgMar w:top="1020" w:right="1134" w:bottom="1020" w:left="1134" w:header="454" w:footer="454" w:gutter="0"/>
          <w:cols w:space="720"/>
          <w:docGrid w:linePitch="360"/>
        </w:sectPr>
      </w:pPr>
      <w:r>
        <w:rPr>
          <w:rFonts w:ascii="Times New Roman" w:hAnsi="Times New Roman" w:eastAsia="Times New Roman" w:cs="Times New Roman"/>
          <w:color w:val="000000"/>
          <w:sz w:val="2"/>
        </w:rPr>
      </w:r>
    </w:p>
    <w:p>
      <w:bookmarkStart w:id="3" w:name="section_003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3. Структурированное сопоставление научных публикаций</w:t>
      </w:r>
      <w:bookmarkEnd w:id="3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Числа ниже принадлежат соответствующим авторам. «Не применяется» в графе метрик означает методическую или аналитическую работу без собственного сравнения моделей. Неуказанные численные метрики не восстанавливались по косвенным сведениям. Из-за различий данных, исходов и схем разделения таблица не является общим рейтингом алгоритмов.</w:t>
      </w:r>
    </w:p>
    <w:p>
      <w:pPr>
        <w:pStyle w:val="Caption"/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</w:rPr>
        <w:t>Таблица 2а — Постановка, данные и методы научных публикаций.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085"/>
        <w:gridCol w:w="2857"/>
        <w:gridCol w:w="2500"/>
        <w:gridCol w:w="2428"/>
        <w:gridCol w:w="2696"/>
        <w:gridCol w:w="2004"/>
      </w:tblGrid>
      <w:tr>
        <w:trPr>
          <w:cantSplit/>
          <w:tblHeader/>
        </w:trPr>
        <w:tc>
          <w:tcPr>
            <w:tcW w:type="dxa" w:w="2085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ID; автор и год</w:t>
            </w:r>
          </w:p>
        </w:tc>
        <w:tc>
          <w:tcPr>
            <w:tcW w:type="dxa" w:w="2857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Название публикации</w:t>
            </w:r>
          </w:p>
        </w:tc>
        <w:tc>
          <w:tcPr>
            <w:tcW w:type="dxa" w:w="2500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Исследовательская проблема</w:t>
            </w:r>
          </w:p>
        </w:tc>
        <w:tc>
          <w:tcPr>
            <w:tcW w:type="dxa" w:w="2428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Набор данных</w:t>
            </w:r>
          </w:p>
        </w:tc>
        <w:tc>
          <w:tcPr>
            <w:tcW w:type="dxa" w:w="2696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Метод</w:t>
            </w:r>
          </w:p>
        </w:tc>
        <w:tc>
          <w:tcPr>
            <w:tcW w:type="dxa" w:w="2004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DOI / проверяемый URL</w:t>
            </w:r>
          </w:p>
        </w:tc>
      </w:tr>
      <w:tr>
        <w:trPr>
          <w:cantSplit/>
        </w:trPr>
        <w:tc>
          <w:tcPr>
            <w:tcW w:type="dxa" w:w="208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L01; Efron, Hastie, Johnstone, Tibshirani, 2004</w:t>
            </w:r>
          </w:p>
        </w:tc>
        <w:tc>
          <w:tcPr>
            <w:tcW w:type="dxa" w:w="285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Least angle regression</w:t>
            </w:r>
          </w:p>
        </w:tc>
        <w:tc>
          <w:tcPr>
            <w:tcW w:type="dxa" w:w="250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Эффективный выбор переменных в линейной регрессии</w:t>
            </w:r>
          </w:p>
        </w:tc>
        <w:tc>
          <w:tcPr>
            <w:tcW w:type="dxa" w:w="242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Diabetes: 442 пациента, 10 исходных признаков; численный исход через год</w:t>
            </w:r>
          </w:p>
        </w:tc>
        <w:tc>
          <w:tcPr>
            <w:tcW w:type="dxa" w:w="269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LARS; связь с Lasso и stagewise-регрессией</w:t>
            </w:r>
          </w:p>
        </w:tc>
        <w:tc>
          <w:tcPr>
            <w:tcW w:type="dxa" w:w="2004"/>
            <w:vAlign w:val="center"/>
          </w:tcPr>
          <w:p>
            <w:pPr>
              <w:keepNext w:val="0"/>
              <w:spacing w:line="252" w:lineRule="auto" w:after="40"/>
            </w:pPr>
            <w:hyperlink r:id="rId10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10.1214/009053604000000067</w:t>
              </w:r>
            </w:hyperlink>
          </w:p>
        </w:tc>
      </w:tr>
      <w:tr>
        <w:trPr>
          <w:cantSplit/>
        </w:trPr>
        <w:tc>
          <w:tcPr>
            <w:tcW w:type="dxa" w:w="208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L02; Grinsztajn, Oyallon, Varoquaux, 2022</w:t>
            </w:r>
          </w:p>
        </w:tc>
        <w:tc>
          <w:tcPr>
            <w:tcW w:type="dxa" w:w="285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Why do tree-based models still outperform deep learning on typical tabular data?</w:t>
            </w:r>
          </w:p>
        </w:tc>
        <w:tc>
          <w:tcPr>
            <w:tcW w:type="dxa" w:w="250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Соотношение нейросетевых и древесных методов на таблицах</w:t>
            </w:r>
          </w:p>
        </w:tc>
        <w:tc>
          <w:tcPr>
            <w:tcW w:type="dxa" w:w="242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45 наборов разных предметных областей</w:t>
            </w:r>
          </w:p>
        </w:tc>
        <w:tc>
          <w:tcPr>
            <w:tcW w:type="dxa" w:w="269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Нейросети, включая MLP и специализированные архитектуры; Random Forest, XGBoost и другие деревья; сопоставимый подбор параметров</w:t>
            </w:r>
          </w:p>
        </w:tc>
        <w:tc>
          <w:tcPr>
            <w:tcW w:type="dxa" w:w="2004"/>
            <w:vAlign w:val="center"/>
          </w:tcPr>
          <w:p>
            <w:pPr>
              <w:keepNext w:val="0"/>
              <w:spacing w:line="252" w:lineRule="auto" w:after="40"/>
            </w:pPr>
            <w:hyperlink r:id="rId11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Материалы NeurIPS 2022</w:t>
              </w:r>
            </w:hyperlink>
          </w:p>
        </w:tc>
      </w:tr>
      <w:tr>
        <w:trPr>
          <w:cantSplit/>
        </w:trPr>
        <w:tc>
          <w:tcPr>
            <w:tcW w:type="dxa" w:w="208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L03; Hrytsenko et al., 2024</w:t>
            </w:r>
          </w:p>
        </w:tc>
        <w:tc>
          <w:tcPr>
            <w:tcW w:type="dxa" w:w="285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Machine learning models for predicting blood pressure phenotypes by combining multiple polygenic risk scores</w:t>
            </w:r>
          </w:p>
        </w:tc>
        <w:tc>
          <w:tcPr>
            <w:tcW w:type="dxa" w:w="250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Численное предсказание САД и ДАД с клиническими и генетическими признаками</w:t>
            </w:r>
          </w:p>
        </w:tc>
        <w:tc>
          <w:tcPr>
            <w:tcW w:type="dxa" w:w="242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TOPMed: 62 295 участников; проверочная часть</w:t>
            </w:r>
          </w:p>
        </w:tc>
        <w:tc>
          <w:tcPr>
            <w:tcW w:type="dxa" w:w="269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Линейные модели, XGBoost, ансамбль базовой и генетической моделей</w:t>
            </w:r>
          </w:p>
        </w:tc>
        <w:tc>
          <w:tcPr>
            <w:tcW w:type="dxa" w:w="2004"/>
            <w:vAlign w:val="center"/>
          </w:tcPr>
          <w:p>
            <w:pPr>
              <w:keepNext w:val="0"/>
              <w:spacing w:line="252" w:lineRule="auto" w:after="40"/>
            </w:pPr>
            <w:hyperlink r:id="rId12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10.1038/s41598-024-62945-9</w:t>
              </w:r>
            </w:hyperlink>
          </w:p>
        </w:tc>
      </w:tr>
      <w:tr>
        <w:trPr>
          <w:cantSplit/>
        </w:trPr>
        <w:tc>
          <w:tcPr>
            <w:tcW w:type="dxa" w:w="208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L04; Najafi-Vosough et al., 2023</w:t>
            </w:r>
          </w:p>
        </w:tc>
        <w:tc>
          <w:tcPr>
            <w:tcW w:type="dxa" w:w="285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Longitudinal machine learning model for predicting systolic blood pressure in patients with heart failure</w:t>
            </w:r>
          </w:p>
        </w:tc>
        <w:tc>
          <w:tcPr>
            <w:tcW w:type="dxa" w:w="250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САД при повторных госпитализациях пациентов с сердечной недостаточностью</w:t>
            </w:r>
          </w:p>
        </w:tc>
        <w:tc>
          <w:tcPr>
            <w:tcW w:type="dxa" w:w="242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Один центр Ирана: 483 пациента, 1320 измерений</w:t>
            </w:r>
          </w:p>
        </w:tc>
        <w:tc>
          <w:tcPr>
            <w:tcW w:type="dxa" w:w="269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Linear mixed-effects model (LMM) и mixed-effects least-squares support-vector regression (MLS-SVR)</w:t>
            </w:r>
          </w:p>
        </w:tc>
        <w:tc>
          <w:tcPr>
            <w:tcW w:type="dxa" w:w="2004"/>
            <w:vAlign w:val="center"/>
          </w:tcPr>
          <w:p>
            <w:pPr>
              <w:keepNext w:val="0"/>
              <w:spacing w:line="252" w:lineRule="auto" w:after="40"/>
            </w:pPr>
            <w:hyperlink r:id="rId13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10.15167/2421-4248/jpmh2023.64.2.2887</w:t>
              </w:r>
            </w:hyperlink>
          </w:p>
        </w:tc>
      </w:tr>
      <w:tr>
        <w:trPr>
          <w:cantSplit/>
        </w:trPr>
        <w:tc>
          <w:tcPr>
            <w:tcW w:type="dxa" w:w="208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L05; Sun, Li, Yu, 2026</w:t>
            </w:r>
          </w:p>
        </w:tc>
        <w:tc>
          <w:tcPr>
            <w:tcW w:type="dxa" w:w="285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Future-aware blood glucose forecasting using knowledge distillation with transformer-based sequence-to-sequence models</w:t>
            </w:r>
          </w:p>
        </w:tc>
        <w:tc>
          <w:tcPr>
            <w:tcW w:type="dxa" w:w="250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Многошаговый прогноз глюкозы при неизвестных будущих приёмах пищи и инсулине</w:t>
            </w:r>
          </w:p>
        </w:tc>
        <w:tc>
          <w:tcPr>
            <w:tcW w:type="dxa" w:w="242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OhioT1DM и AZT1D; CGM, история инсулина и питания</w:t>
            </w:r>
          </w:p>
        </w:tc>
        <w:tc>
          <w:tcPr>
            <w:tcW w:type="dxa" w:w="269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Transformer teacher–student; будущая информация доступна teacher при обучении; student использует историю. Сравнение с LSTM, BiLSTM, CRNN, Transformer и zero-hold</w:t>
            </w:r>
          </w:p>
        </w:tc>
        <w:tc>
          <w:tcPr>
            <w:tcW w:type="dxa" w:w="2004"/>
            <w:vAlign w:val="center"/>
          </w:tcPr>
          <w:p>
            <w:pPr>
              <w:keepNext w:val="0"/>
              <w:spacing w:line="252" w:lineRule="auto" w:after="40"/>
            </w:pPr>
            <w:hyperlink r:id="rId14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10.1038/s41598-026-41787-7</w:t>
              </w:r>
            </w:hyperlink>
          </w:p>
        </w:tc>
      </w:tr>
      <w:tr>
        <w:trPr>
          <w:cantSplit/>
        </w:trPr>
        <w:tc>
          <w:tcPr>
            <w:tcW w:type="dxa" w:w="208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L06; Robles Arévalo et al., 2021</w:t>
            </w:r>
          </w:p>
        </w:tc>
        <w:tc>
          <w:tcPr>
            <w:tcW w:type="dxa" w:w="285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Data-driven curation process for describing the blood glucose management in the intensive care unit</w:t>
            </w:r>
          </w:p>
        </w:tc>
        <w:tc>
          <w:tcPr>
            <w:tcW w:type="dxa" w:w="250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Очистка и согласование клинических записей глюкозы и инсулина</w:t>
            </w:r>
          </w:p>
        </w:tc>
        <w:tc>
          <w:tcPr>
            <w:tcW w:type="dxa" w:w="242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MIMIC-III v1.4; производные временные ряды ICU</w:t>
            </w:r>
          </w:p>
        </w:tc>
        <w:tc>
          <w:tcPr>
            <w:tcW w:type="dxa" w:w="269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SQL-извлечение, очистка, экспертные правила временного сопоставления</w:t>
            </w:r>
          </w:p>
        </w:tc>
        <w:tc>
          <w:tcPr>
            <w:tcW w:type="dxa" w:w="2004"/>
            <w:vAlign w:val="center"/>
          </w:tcPr>
          <w:p>
            <w:pPr>
              <w:keepNext w:val="0"/>
              <w:spacing w:line="252" w:lineRule="auto" w:after="40"/>
            </w:pPr>
            <w:hyperlink r:id="rId15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10.1038/s41597-021-00864-4</w:t>
              </w:r>
            </w:hyperlink>
          </w:p>
        </w:tc>
      </w:tr>
      <w:tr>
        <w:trPr>
          <w:cantSplit/>
        </w:trPr>
        <w:tc>
          <w:tcPr>
            <w:tcW w:type="dxa" w:w="208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L07; Collins et al., 2024</w:t>
            </w:r>
          </w:p>
        </w:tc>
        <w:tc>
          <w:tcPr>
            <w:tcW w:type="dxa" w:w="285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TRIPOD+AI statement: updated guidance for reporting clinical prediction models that use regression or machine learning methods</w:t>
            </w:r>
          </w:p>
        </w:tc>
        <w:tc>
          <w:tcPr>
            <w:tcW w:type="dxa" w:w="250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Неполное описание разработки и оценки моделей</w:t>
            </w:r>
          </w:p>
        </w:tc>
        <w:tc>
          <w:tcPr>
            <w:tcW w:type="dxa" w:w="242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Литература и международный процесс разработки руководства; нет отдельного набора MedPredict</w:t>
            </w:r>
          </w:p>
        </w:tc>
        <w:tc>
          <w:tcPr>
            <w:tcW w:type="dxa" w:w="269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Согласованное руководство для регрессии и ML</w:t>
            </w:r>
          </w:p>
        </w:tc>
        <w:tc>
          <w:tcPr>
            <w:tcW w:type="dxa" w:w="2004"/>
            <w:vAlign w:val="center"/>
          </w:tcPr>
          <w:p>
            <w:pPr>
              <w:keepNext w:val="0"/>
              <w:spacing w:line="252" w:lineRule="auto" w:after="40"/>
            </w:pPr>
            <w:hyperlink r:id="rId16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10.1136/bmj-2023-078378</w:t>
              </w:r>
            </w:hyperlink>
          </w:p>
        </w:tc>
      </w:tr>
      <w:tr>
        <w:trPr>
          <w:cantSplit/>
        </w:trPr>
        <w:tc>
          <w:tcPr>
            <w:tcW w:type="dxa" w:w="208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L08; Moons et al., 2025</w:t>
            </w:r>
          </w:p>
        </w:tc>
        <w:tc>
          <w:tcPr>
            <w:tcW w:type="dxa" w:w="285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PROBAST+AI: an updated quality, risk of bias, and applicability assessment tool for prediction models using regression or artificial intelligence methods</w:t>
            </w:r>
          </w:p>
        </w:tc>
        <w:tc>
          <w:tcPr>
            <w:tcW w:type="dxa" w:w="250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Оценка качества разработки, смещения и применимости</w:t>
            </w:r>
          </w:p>
        </w:tc>
        <w:tc>
          <w:tcPr>
            <w:tcW w:type="dxa" w:w="242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Методический инструмент; не эксперимент по трём модулям</w:t>
            </w:r>
          </w:p>
        </w:tc>
        <w:tc>
          <w:tcPr>
            <w:tcW w:type="dxa" w:w="269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Структурированная оценка участников/данных, предикторов, исхода и анализа</w:t>
            </w:r>
          </w:p>
        </w:tc>
        <w:tc>
          <w:tcPr>
            <w:tcW w:type="dxa" w:w="2004"/>
            <w:vAlign w:val="center"/>
          </w:tcPr>
          <w:p>
            <w:pPr>
              <w:keepNext w:val="0"/>
              <w:spacing w:line="252" w:lineRule="auto" w:after="40"/>
            </w:pPr>
            <w:hyperlink r:id="rId17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10.1136/bmj-2024-082505</w:t>
              </w:r>
            </w:hyperlink>
          </w:p>
        </w:tc>
      </w:tr>
      <w:tr>
        <w:trPr>
          <w:cantSplit/>
        </w:trPr>
        <w:tc>
          <w:tcPr>
            <w:tcW w:type="dxa" w:w="208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L09; Efthimiou et al., 2024</w:t>
            </w:r>
          </w:p>
        </w:tc>
        <w:tc>
          <w:tcPr>
            <w:tcW w:type="dxa" w:w="285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Developing clinical prediction models: a step-by-step guide</w:t>
            </w:r>
          </w:p>
        </w:tc>
        <w:tc>
          <w:tcPr>
            <w:tcW w:type="dxa" w:w="250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Последовательность разработки воспроизводимой прогностической модели</w:t>
            </w:r>
          </w:p>
        </w:tc>
        <w:tc>
          <w:tcPr>
            <w:tcW w:type="dxa" w:w="242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Методическое руководство с примером рассеянного склероза</w:t>
            </w:r>
          </w:p>
        </w:tc>
        <w:tc>
          <w:tcPr>
            <w:tcW w:type="dxa" w:w="269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13 шагов: постановка цели, выбор данных, пропуски, модели и оценка; пример кода R</w:t>
            </w:r>
          </w:p>
        </w:tc>
        <w:tc>
          <w:tcPr>
            <w:tcW w:type="dxa" w:w="2004"/>
            <w:vAlign w:val="center"/>
          </w:tcPr>
          <w:p>
            <w:pPr>
              <w:keepNext w:val="0"/>
              <w:spacing w:line="252" w:lineRule="auto" w:after="40"/>
            </w:pPr>
            <w:hyperlink r:id="rId18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10.1136/bmj-2023-078276</w:t>
              </w:r>
            </w:hyperlink>
          </w:p>
        </w:tc>
      </w:tr>
      <w:tr>
        <w:trPr>
          <w:cantSplit/>
        </w:trPr>
        <w:tc>
          <w:tcPr>
            <w:tcW w:type="dxa" w:w="208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L10; Riley et al., 2024</w:t>
            </w:r>
          </w:p>
        </w:tc>
        <w:tc>
          <w:tcPr>
            <w:tcW w:type="dxa" w:w="285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Evaluation of clinical prediction models (part 2): how to undertake an external validation study</w:t>
            </w:r>
          </w:p>
        </w:tc>
        <w:tc>
          <w:tcPr>
            <w:tcW w:type="dxa" w:w="250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Корректная оценка фиксированной модели на новых данных</w:t>
            </w:r>
          </w:p>
        </w:tc>
        <w:tc>
          <w:tcPr>
            <w:tcW w:type="dxa" w:w="242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Методическое руководство с иллюстративными примерами</w:t>
            </w:r>
          </w:p>
        </w:tc>
        <w:tc>
          <w:tcPr>
            <w:tcW w:type="dxa" w:w="269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Выбор релевантной новой выборки; оценка общего качества и калибровки</w:t>
            </w:r>
          </w:p>
        </w:tc>
        <w:tc>
          <w:tcPr>
            <w:tcW w:type="dxa" w:w="2004"/>
            <w:vAlign w:val="center"/>
          </w:tcPr>
          <w:p>
            <w:pPr>
              <w:keepNext w:val="0"/>
              <w:spacing w:line="252" w:lineRule="auto" w:after="40"/>
            </w:pPr>
            <w:hyperlink r:id="rId19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10.1136/bmj-2023-074820</w:t>
              </w:r>
            </w:hyperlink>
          </w:p>
        </w:tc>
      </w:tr>
      <w:tr>
        <w:trPr>
          <w:cantSplit/>
        </w:trPr>
        <w:tc>
          <w:tcPr>
            <w:tcW w:type="dxa" w:w="208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L11; Ghassemi, Oakden-Rayner, Beam, 2021</w:t>
            </w:r>
          </w:p>
        </w:tc>
        <w:tc>
          <w:tcPr>
            <w:tcW w:type="dxa" w:w="285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The false hope of current approaches to explainable artificial intelligence in health care</w:t>
            </w:r>
          </w:p>
        </w:tc>
        <w:tc>
          <w:tcPr>
            <w:tcW w:type="dxa" w:w="250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Ограничения локальных объяснений в медицинском AI</w:t>
            </w:r>
          </w:p>
        </w:tc>
        <w:tc>
          <w:tcPr>
            <w:tcW w:type="dxa" w:w="242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Аналитическая Viewpoint; примеры методов объяснения</w:t>
            </w:r>
          </w:p>
        </w:tc>
        <w:tc>
          <w:tcPr>
            <w:tcW w:type="dxa" w:w="269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Критический анализ explainable AI</w:t>
            </w:r>
          </w:p>
        </w:tc>
        <w:tc>
          <w:tcPr>
            <w:tcW w:type="dxa" w:w="2004"/>
            <w:vAlign w:val="center"/>
          </w:tcPr>
          <w:p>
            <w:pPr>
              <w:keepNext w:val="0"/>
              <w:spacing w:line="252" w:lineRule="auto" w:after="40"/>
            </w:pPr>
            <w:hyperlink r:id="rId20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10.1016/S2589-7500(21)00208-9</w:t>
              </w:r>
            </w:hyperlink>
          </w:p>
        </w:tc>
      </w:tr>
      <w:tr>
        <w:trPr>
          <w:cantSplit/>
        </w:trPr>
        <w:tc>
          <w:tcPr>
            <w:tcW w:type="dxa" w:w="208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L12; Finlayson et al., 2021</w:t>
            </w:r>
          </w:p>
        </w:tc>
        <w:tc>
          <w:tcPr>
            <w:tcW w:type="dxa" w:w="285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The Clinician and Dataset Shift in Artificial Intelligence</w:t>
            </w:r>
          </w:p>
        </w:tc>
        <w:tc>
          <w:tcPr>
            <w:tcW w:type="dxa" w:w="250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Снижение надёжности после изменения данных и контекста</w:t>
            </w:r>
          </w:p>
        </w:tc>
        <w:tc>
          <w:tcPr>
            <w:tcW w:type="dxa" w:w="242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Аналитическая публикация с примерами клинических систем</w:t>
            </w:r>
          </w:p>
        </w:tc>
        <w:tc>
          <w:tcPr>
            <w:tcW w:type="dxa" w:w="269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Классификация изменений технологии, популяции, среды и поведения; мониторинг</w:t>
            </w:r>
          </w:p>
        </w:tc>
        <w:tc>
          <w:tcPr>
            <w:tcW w:type="dxa" w:w="2004"/>
            <w:vAlign w:val="center"/>
          </w:tcPr>
          <w:p>
            <w:pPr>
              <w:keepNext w:val="0"/>
              <w:spacing w:line="252" w:lineRule="auto" w:after="40"/>
            </w:pPr>
            <w:hyperlink r:id="rId21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10.1056/NEJMc2104626</w:t>
              </w:r>
            </w:hyperlink>
          </w:p>
        </w:tc>
      </w:tr>
    </w:tbl>
    <w:p>
      <w:pPr>
        <w:pStyle w:val="Caption"/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</w:rPr>
        <w:t>Таблица 2б — Метрики, результаты и применимость тех же публикаций. Строки связаны неизменным ID L01–L12 с таблицей 2а и библиографическим списком.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218"/>
        <w:gridCol w:w="2692"/>
        <w:gridCol w:w="3142"/>
        <w:gridCol w:w="3179"/>
        <w:gridCol w:w="3339"/>
      </w:tblGrid>
      <w:tr>
        <w:trPr>
          <w:cantSplit/>
          <w:tblHeader/>
        </w:trPr>
        <w:tc>
          <w:tcPr>
            <w:tcW w:type="dxa" w:w="2218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ID; автор и год</w:t>
            </w:r>
          </w:p>
        </w:tc>
        <w:tc>
          <w:tcPr>
            <w:tcW w:type="dxa" w:w="2692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Метрики оценки</w:t>
            </w:r>
          </w:p>
        </w:tc>
        <w:tc>
          <w:tcPr>
            <w:tcW w:type="dxa" w:w="3142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Основные опубликованные результаты</w:t>
            </w:r>
          </w:p>
        </w:tc>
        <w:tc>
          <w:tcPr>
            <w:tcW w:type="dxa" w:w="3179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Ограничения</w:t>
            </w:r>
          </w:p>
        </w:tc>
        <w:tc>
          <w:tcPr>
            <w:tcW w:type="dxa" w:w="3339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Значение для MedPredict</w:t>
            </w:r>
          </w:p>
        </w:tc>
      </w:tr>
      <w:tr>
        <w:trPr>
          <w:cantSplit/>
        </w:trPr>
        <w:tc>
          <w:tcPr>
            <w:tcW w:type="dxa" w:w="221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L01; Efron, Hastie, Johnstone, Tibshirani, 2004</w:t>
            </w:r>
          </w:p>
        </w:tc>
        <w:tc>
          <w:tcPr>
            <w:tcW w:type="dxa" w:w="269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Ошибка предсказания, критерий Cₚ в анализе выбора модели</w:t>
            </w:r>
          </w:p>
        </w:tc>
        <w:tc>
          <w:tcPr>
            <w:tcW w:type="dxa" w:w="314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Разработан алгоритм построения пути регрессионных моделей; медицинский набор служит примером</w:t>
            </w:r>
          </w:p>
        </w:tc>
        <w:tc>
          <w:tcPr>
            <w:tcW w:type="dxa" w:w="317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Методическая работа и небольшой пример не доказывают клиническую переносимость или преимущество MLP</w:t>
            </w:r>
          </w:p>
        </w:tc>
        <w:tc>
          <w:tcPr>
            <w:tcW w:type="dxa" w:w="333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Первичный контекст M1; необходимость сравнения нейросети с регрессией; целевой показатель не становится диагнозом</w:t>
            </w:r>
          </w:p>
        </w:tc>
      </w:tr>
      <w:tr>
        <w:trPr>
          <w:cantSplit/>
        </w:trPr>
        <w:tc>
          <w:tcPr>
            <w:tcW w:type="dxa" w:w="221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L02; Grinsztajn, Oyallon, Varoquaux, 2022</w:t>
            </w:r>
          </w:p>
        </w:tc>
        <w:tc>
          <w:tcPr>
            <w:tcW w:type="dxa" w:w="269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Accuracy для классификации, R² для регрессии; агрегированное сравнение</w:t>
            </w:r>
          </w:p>
        </w:tc>
        <w:tc>
          <w:tcPr>
            <w:tcW w:type="dxa" w:w="314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На исследованном классе таблиц среднего размера деревья сохраняли преимущество; существенны неинформативные признаки и нерегулярность функций</w:t>
            </w:r>
          </w:p>
        </w:tc>
        <w:tc>
          <w:tcPr>
            <w:tcW w:type="dxa" w:w="317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 медицинская проверка; вывод ограничен выбранными наборами и бюджетами настройки</w:t>
            </w:r>
          </w:p>
        </w:tc>
        <w:tc>
          <w:tcPr>
            <w:tcW w:type="dxa" w:w="333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Тема с нейросетью не позволяет заранее объявить её победителем. Дополнительный древесный ориентир допустим после базового сравнения M1/M2</w:t>
            </w:r>
          </w:p>
        </w:tc>
      </w:tr>
      <w:tr>
        <w:trPr>
          <w:cantSplit/>
        </w:trPr>
        <w:tc>
          <w:tcPr>
            <w:tcW w:type="dxa" w:w="221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L03; Hrytsenko et al., 2024</w:t>
            </w:r>
          </w:p>
        </w:tc>
        <w:tc>
          <w:tcPr>
            <w:tcW w:type="dxa" w:w="269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Percentage variance explained (PVE), анализ групп, bootstrap-интервалы</w:t>
            </w:r>
          </w:p>
        </w:tc>
        <w:tc>
          <w:tcPr>
            <w:tcW w:type="dxa" w:w="314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Для базовой модели САД PVE выросла с 28,1% до 30,1% при переходе к нелинейному методу</w:t>
            </w:r>
          </w:p>
        </w:tc>
        <w:tc>
          <w:tcPr>
            <w:tcW w:type="dxa" w:w="317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Другие признаки и популяции; полигенные показатели отсутствуют в форме MedPredict; обработка лекарств влияет на исход</w:t>
            </w:r>
          </w:p>
        </w:tc>
        <w:tc>
          <w:tcPr>
            <w:tcW w:type="dxa" w:w="333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Близкий M2 непрерывный исход; показывает ценность сравнения и анализа групп, но не достаточность пяти полей текущей формы</w:t>
            </w:r>
          </w:p>
        </w:tc>
      </w:tr>
      <w:tr>
        <w:trPr>
          <w:cantSplit/>
        </w:trPr>
        <w:tc>
          <w:tcPr>
            <w:tcW w:type="dxa" w:w="221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L04; Najafi-Vosough et al., 2023</w:t>
            </w:r>
          </w:p>
        </w:tc>
        <w:tc>
          <w:tcPr>
            <w:tcW w:type="dxa" w:w="269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MAE и RMSE; случайное разделение 70:30, повторённое 100 раз</w:t>
            </w:r>
          </w:p>
        </w:tc>
        <w:tc>
          <w:tcPr>
            <w:tcW w:type="dxa" w:w="314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Тестовая MAE LMM/MLS-SVR: 17,92/17,36 мм рт. ст.; RMSE: 22,79/22,07</w:t>
            </w:r>
          </w:p>
        </w:tc>
        <w:tc>
          <w:tcPr>
            <w:tcW w:type="dxa" w:w="317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Один центр, исключение неполных записей; уровень разделения повторных наблюдений описан недостаточно явно; большой разрыв train/test у MLS-SVR</w:t>
            </w:r>
          </w:p>
        </w:tc>
        <w:tc>
          <w:tcPr>
            <w:tcW w:type="dxa" w:w="333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Пример интерпретации ошибки в единицах САД и проверки разделения по пациенту. Это не доказательство будущей точности M2</w:t>
            </w:r>
          </w:p>
        </w:tc>
      </w:tr>
      <w:tr>
        <w:trPr>
          <w:cantSplit/>
        </w:trPr>
        <w:tc>
          <w:tcPr>
            <w:tcW w:type="dxa" w:w="221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L05; Sun, Li, Yu, 2026</w:t>
            </w:r>
          </w:p>
        </w:tc>
        <w:tc>
          <w:tcPr>
            <w:tcW w:type="dxa" w:w="269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MAE, RMSE в mg/dL, Clarke error grid; горизонты 30–120 минут</w:t>
            </w:r>
          </w:p>
        </w:tc>
        <w:tc>
          <w:tcPr>
            <w:tcW w:type="dxa" w:w="314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Авторы сообщают улучшение student относительно исследованных методов без будущих возмущений; отдельно показана зависимость ошибки от горизонта</w:t>
            </w:r>
          </w:p>
        </w:tc>
        <w:tc>
          <w:tcPr>
            <w:tcW w:type="dxa" w:w="317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Малые специализированные когорты, персональная настройка, пропуски и предположение о режиме дня; offline-оценка не заменяет проспективную проверку</w:t>
            </w:r>
          </w:p>
        </w:tc>
        <w:tc>
          <w:tcPr>
            <w:tcW w:type="dxa" w:w="333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Обосновывает временную постановку M3 и persistence-baseline. Горизонты статьи не утверждают горизонт MedPredict; OhioT1DM/AZT1D не являются выбранным набором PhysioNet</w:t>
            </w:r>
          </w:p>
        </w:tc>
      </w:tr>
      <w:tr>
        <w:trPr>
          <w:cantSplit/>
        </w:trPr>
        <w:tc>
          <w:tcPr>
            <w:tcW w:type="dxa" w:w="221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L06; Robles Arévalo et al., 2021</w:t>
            </w:r>
          </w:p>
        </w:tc>
        <w:tc>
          <w:tcPr>
            <w:tcW w:type="dxa" w:w="269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Показатели полноты/сопоставления записей; MAE/RMSE прогноза не оцениваются</w:t>
            </w:r>
          </w:p>
        </w:tc>
        <w:tc>
          <w:tcPr>
            <w:tcW w:type="dxa" w:w="314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Опубликованы воспроизводимые правила и набор для изучения реальной практики контроля глюкозы</w:t>
            </w:r>
          </w:p>
        </w:tc>
        <w:tc>
          <w:tcPr>
            <w:tcW w:type="dxa" w:w="317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ICU и нерегулярные EHR-измерения отличаются от амбулаторного CGM; сопоставление лечения не равно прогнозу</w:t>
            </w:r>
          </w:p>
        </w:tc>
        <w:tc>
          <w:tcPr>
            <w:tcW w:type="dxa" w:w="333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Паспорт и качество продольных данных предшествуют выбору LSTM; источник для изучения кандидата [L15], а не подтверждение выбора M3</w:t>
            </w:r>
          </w:p>
        </w:tc>
      </w:tr>
      <w:tr>
        <w:trPr>
          <w:cantSplit/>
        </w:trPr>
        <w:tc>
          <w:tcPr>
            <w:tcW w:type="dxa" w:w="221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L07; Collins et al., 2024</w:t>
            </w:r>
          </w:p>
        </w:tc>
        <w:tc>
          <w:tcPr>
            <w:tcW w:type="dxa" w:w="269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 применяется; чек-лист отчётности</w:t>
            </w:r>
          </w:p>
        </w:tc>
        <w:tc>
          <w:tcPr>
            <w:tcW w:type="dxa" w:w="314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27 пунктов основной отчётности и отдельные рекомендации для abstract</w:t>
            </w:r>
          </w:p>
        </w:tc>
        <w:tc>
          <w:tcPr>
            <w:tcW w:type="dxa" w:w="317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Полная отчётность сама по себе не гарантирует корректность анализа или пользу</w:t>
            </w:r>
          </w:p>
        </w:tc>
        <w:tc>
          <w:tcPr>
            <w:tcW w:type="dxa" w:w="333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Основа паспорта каждого эксперимента: данные, признаки, split, параметры, неопределённость, ограничения</w:t>
            </w:r>
          </w:p>
        </w:tc>
      </w:tr>
      <w:tr>
        <w:trPr>
          <w:cantSplit/>
        </w:trPr>
        <w:tc>
          <w:tcPr>
            <w:tcW w:type="dxa" w:w="221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L08; Moons et al., 2025</w:t>
            </w:r>
          </w:p>
        </w:tc>
        <w:tc>
          <w:tcPr>
            <w:tcW w:type="dxa" w:w="269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 применяется; вопросы риска смещения и применимости</w:t>
            </w:r>
          </w:p>
        </w:tc>
        <w:tc>
          <w:tcPr>
            <w:tcW w:type="dxa" w:w="314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Разделены качество процесса разработки и риск смещения оценки; усилен учёт алгоритмического смещения</w:t>
            </w:r>
          </w:p>
        </w:tc>
        <w:tc>
          <w:tcPr>
            <w:tcW w:type="dxa" w:w="317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Это инструмент критической оценки, а не способ исправить отсутствующие данные; полное применение требует полного отчёта</w:t>
            </w:r>
          </w:p>
        </w:tc>
        <w:tc>
          <w:tcPr>
            <w:tcW w:type="dxa" w:w="333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Предварительная проверка протокола и последующая критическая оценка M1–M3</w:t>
            </w:r>
          </w:p>
        </w:tc>
      </w:tr>
      <w:tr>
        <w:trPr>
          <w:cantSplit/>
        </w:trPr>
        <w:tc>
          <w:tcPr>
            <w:tcW w:type="dxa" w:w="221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L09; Efthimiou et al., 2024</w:t>
            </w:r>
          </w:p>
        </w:tc>
        <w:tc>
          <w:tcPr>
            <w:tcW w:type="dxa" w:w="269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Зависят от исхода; рассматриваются качество, калибровка и полезность</w:t>
            </w:r>
          </w:p>
        </w:tc>
        <w:tc>
          <w:tcPr>
            <w:tcW w:type="dxa" w:w="314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Разработка начинается с назначения, популяции, исхода и протокола, а не с алгоритма</w:t>
            </w:r>
          </w:p>
        </w:tc>
        <w:tc>
          <w:tcPr>
            <w:tcW w:type="dxa" w:w="317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Основной фокус — будущие клинические исходы; пример другой болезни не доказывает качество M1–M3</w:t>
            </w:r>
          </w:p>
        </w:tc>
        <w:tc>
          <w:tcPr>
            <w:tcW w:type="dxa" w:w="333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Обосновывает фиксацию protocol до обучения; M2 с поперечным исходом необходимо описывать отдельно</w:t>
            </w:r>
          </w:p>
        </w:tc>
      </w:tr>
      <w:tr>
        <w:trPr>
          <w:cantSplit/>
        </w:trPr>
        <w:tc>
          <w:tcPr>
            <w:tcW w:type="dxa" w:w="221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L10; Riley et al., 2024</w:t>
            </w:r>
          </w:p>
        </w:tc>
        <w:tc>
          <w:tcPr>
            <w:tcW w:type="dxa" w:w="269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Для непрерывного исхода: R², MSE; оценка калибровки. Для событий — другие метрики</w:t>
            </w:r>
          </w:p>
        </w:tc>
        <w:tc>
          <w:tcPr>
            <w:tcW w:type="dxa" w:w="314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Внешняя оценка не предполагает переобучение исходной модели; важно соответствие intended use</w:t>
            </w:r>
          </w:p>
        </w:tc>
        <w:tc>
          <w:tcPr>
            <w:tcW w:type="dxa" w:w="317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Отложенная часть того же набора не становится внешней популяционной проверкой</w:t>
            </w:r>
          </w:p>
        </w:tc>
        <w:tc>
          <w:tcPr>
            <w:tcW w:type="dxa" w:w="333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Разделить внутреннюю оценку, временной перенос и внешнюю оценку. AUROC не заменяет MAE/RMSE регрессии</w:t>
            </w:r>
          </w:p>
        </w:tc>
      </w:tr>
      <w:tr>
        <w:trPr>
          <w:cantSplit/>
        </w:trPr>
        <w:tc>
          <w:tcPr>
            <w:tcW w:type="dxa" w:w="221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L11; Ghassemi, Oakden-Rayner, Beam, 2021</w:t>
            </w:r>
          </w:p>
        </w:tc>
        <w:tc>
          <w:tcPr>
            <w:tcW w:type="dxa" w:w="269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 применяется; собственного benchmark нет</w:t>
            </w:r>
          </w:p>
        </w:tc>
        <w:tc>
          <w:tcPr>
            <w:tcW w:type="dxa" w:w="314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Объяснение отдельного ответа может быть ненадёжным; авторы придают приоритет строгой внутренней и внешней оценке</w:t>
            </w:r>
          </w:p>
        </w:tc>
        <w:tc>
          <w:tcPr>
            <w:tcW w:type="dxa" w:w="317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Аргументированный анализ не устанавливает, что любой метод объяснения бесполезен</w:t>
            </w:r>
          </w:p>
        </w:tc>
        <w:tc>
          <w:tcPr>
            <w:tcW w:type="dxa" w:w="333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Подпись признаков или будущая SHAP-визуализация не подтверждает верность прогноза; нельзя превращать её в медицинскую рекомендацию</w:t>
            </w:r>
          </w:p>
        </w:tc>
      </w:tr>
      <w:tr>
        <w:trPr>
          <w:cantSplit/>
        </w:trPr>
        <w:tc>
          <w:tcPr>
            <w:tcW w:type="dxa" w:w="221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L12; Finlayson et al., 2021</w:t>
            </w:r>
          </w:p>
        </w:tc>
        <w:tc>
          <w:tcPr>
            <w:tcW w:type="dxa" w:w="269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 применяется; единой собственной регрессионной метрики нет</w:t>
            </w:r>
          </w:p>
        </w:tc>
        <w:tc>
          <w:tcPr>
            <w:tcW w:type="dxa" w:w="314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Перенос между условиями требует наблюдения за данными, качеством и процессом обновления</w:t>
            </w:r>
          </w:p>
        </w:tc>
        <w:tc>
          <w:tcPr>
            <w:tcW w:type="dxa" w:w="317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Публикация не измеряет частоту ошибок MedPredict и не определяет конкретный порог drift</w:t>
            </w:r>
          </w:p>
        </w:tc>
        <w:tc>
          <w:tcPr>
            <w:tcW w:type="dxa" w:w="333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Версионирование модели, единиц и preprocessing; ограничения популяции и план последующей проверки после интеграции</w:t>
            </w:r>
          </w:p>
        </w:tc>
      </w:tr>
    </w:tbl>
    <w:p>
      <w:pPr>
        <w:keepNext w:val="0"/>
        <w:spacing w:before="0" w:after="0" w:line="20" w:lineRule="exact"/>
        <w:sectPr>
          <w:pgSz w:w="16838" w:h="11906" w:orient="landscape"/>
          <w:pgMar w:top="1020" w:right="1134" w:bottom="1020" w:left="1134" w:header="454" w:footer="454" w:gutter="0"/>
          <w:cols w:space="720"/>
          <w:docGrid w:linePitch="360"/>
        </w:sectPr>
      </w:pPr>
      <w:r>
        <w:rPr>
          <w:rFonts w:ascii="Times New Roman" w:hAnsi="Times New Roman" w:eastAsia="Times New Roman" w:cs="Times New Roman"/>
          <w:color w:val="000000"/>
          <w:sz w:val="2"/>
        </w:rPr>
      </w:r>
    </w:p>
    <w:p>
      <w:bookmarkStart w:id="4" w:name="section_004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4. Документация данных и инженерные основания</w:t>
      </w:r>
      <w:bookmarkEnd w:id="4"/>
    </w:p>
    <w:p>
      <w:pPr>
        <w:pStyle w:val="Caption"/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</w:rPr>
        <w:t>Таблица 3 — Официальные источники; не учитываются как научные статьи.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919"/>
        <w:gridCol w:w="2525"/>
        <w:gridCol w:w="2616"/>
        <w:gridCol w:w="2577"/>
      </w:tblGrid>
      <w:tr>
        <w:trPr>
          <w:cantSplit/>
          <w:tblHeader/>
        </w:trPr>
        <w:tc>
          <w:tcPr>
            <w:tcW w:type="dxa" w:w="1919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ID; источник</w:t>
            </w:r>
          </w:p>
        </w:tc>
        <w:tc>
          <w:tcPr>
            <w:tcW w:type="dxa" w:w="2525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Проверенное содержание</w:t>
            </w:r>
          </w:p>
        </w:tc>
        <w:tc>
          <w:tcPr>
            <w:tcW w:type="dxa" w:w="2616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Следствие для проектирования</w:t>
            </w:r>
          </w:p>
        </w:tc>
        <w:tc>
          <w:tcPr>
            <w:tcW w:type="dxa" w:w="2577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Граница применимости</w:t>
            </w:r>
          </w:p>
        </w:tc>
      </w:tr>
      <w:tr>
        <w:trPr>
          <w:cantSplit/>
        </w:trPr>
        <w:tc>
          <w:tcPr>
            <w:tcW w:type="dxa" w:w="191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L13; scikit-learn, Diabetes dataset</w:t>
            </w:r>
          </w:p>
        </w:tc>
        <w:tc>
          <w:tcPr>
            <w:tcW w:type="dxa" w:w="252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442 наблюдения, 10 исходных признаков; численный target через год. Стандартная загрузка содержит центрированные и масштабированные признаки</w:t>
            </w:r>
          </w:p>
        </w:tc>
        <w:tc>
          <w:tcPr>
            <w:tcW w:type="dxa" w:w="261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Для M1 закрепить версию загрузчика, представление признаков и шкалу target; ввод обычных единиц требует подтверждённого преобразования</w:t>
            </w:r>
          </w:p>
        </w:tc>
        <w:tc>
          <w:tcPr>
            <w:tcW w:type="dxa" w:w="257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Малый учебный набор не устанавливает клиническую шкалу, достаточность пяти полей существующей формы или применимость к новым пациентам</w:t>
            </w:r>
          </w:p>
        </w:tc>
      </w:tr>
      <w:tr>
        <w:trPr>
          <w:cantSplit/>
        </w:trPr>
        <w:tc>
          <w:tcPr>
            <w:tcW w:type="dxa" w:w="191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L14; CDC/NCHS, NHANES P_BPXO</w:t>
            </w:r>
          </w:p>
        </w:tc>
        <w:tc>
          <w:tcPr>
            <w:tcW w:type="dxa" w:w="252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Три последовательных осциллометрических измерения; описаны протокол, пропуски и специальные веса объединённого цикла 2017–March 2020</w:t>
            </w:r>
          </w:p>
        </w:tc>
        <w:tc>
          <w:tcPr>
            <w:tcW w:type="dxa" w:w="261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Для M2 заранее определить исход, например правило агрегирования доступных измерений, анализ пропусков, объединение по участнику и учёт дизайна обследования</w:t>
            </w:r>
          </w:p>
        </w:tc>
        <w:tc>
          <w:tcPr>
            <w:tcW w:type="dxa" w:w="257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Публичный кодбук не означает утверждение этого цикла для проекта; наблюдаемый диапазон колонки не является медицинским пределом ввода</w:t>
            </w:r>
          </w:p>
        </w:tc>
      </w:tr>
      <w:tr>
        <w:trPr>
          <w:cantSplit/>
        </w:trPr>
        <w:tc>
          <w:tcPr>
            <w:tcW w:type="dxa" w:w="191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L15; PhysioNet, Curated Data for Describing Blood Glucose Management in the Intensive Care Unit v1.0.1</w:t>
            </w:r>
          </w:p>
        </w:tc>
        <w:tc>
          <w:tcPr>
            <w:tcW w:type="dxa" w:w="252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Производные ряды MIMIC-III по глюкозе и инсулину; credentialed access. Это ICU EHR, а не непрерывный амбулаторный CGM</w:t>
            </w:r>
          </w:p>
        </w:tc>
        <w:tc>
          <w:tcPr>
            <w:tcW w:type="dxa" w:w="261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Один проверенный кандидат для проверки осуществимости M3: изучить регулярность, полноту, единицы, доступ и окно наблюдения до выбора horizon</w:t>
            </w:r>
          </w:p>
        </w:tc>
        <w:tc>
          <w:tcPr>
            <w:tcW w:type="dxa" w:w="257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Набор не выбран и не загружен. Наличие временных рядов ещё не доказывает пригодность короткого равномерного горизонта; доступ команды не подтверждён</w:t>
            </w:r>
          </w:p>
        </w:tc>
      </w:tr>
      <w:tr>
        <w:trPr>
          <w:cantSplit/>
        </w:trPr>
        <w:tc>
          <w:tcPr>
            <w:tcW w:type="dxa" w:w="191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L16; ONNX Runtime, Java</w:t>
            </w:r>
          </w:p>
        </w:tc>
        <w:tc>
          <w:tcPr>
            <w:tcW w:type="dxa" w:w="252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Официально поддерживается выполнение ONNX-модели через Java binding; описаны имена, формы, типы входов/выходов и жизненный цикл ресурсов</w:t>
            </w:r>
          </w:p>
        </w:tc>
        <w:tc>
          <w:tcPr>
            <w:tcW w:type="dxa" w:w="261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Технически возможный путь к Spring Boot после проверки экспортируемости конкретной модели и тождественности preprocessing</w:t>
            </w:r>
          </w:p>
        </w:tc>
        <w:tc>
          <w:tcPr>
            <w:tcW w:type="dxa" w:w="257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Документация не гарантирует совместимость любого MLP/LSTM, равенство Python/Java или выигрыш скорости без проверок</w:t>
            </w:r>
          </w:p>
        </w:tc>
      </w:tr>
      <w:tr>
        <w:trPr>
          <w:cantSplit/>
        </w:trPr>
        <w:tc>
          <w:tcPr>
            <w:tcW w:type="dxa" w:w="191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L17; WHO, 2021</w:t>
            </w:r>
          </w:p>
        </w:tc>
        <w:tc>
          <w:tcPr>
            <w:tcW w:type="dxa" w:w="252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Руководство по этике и управлению AI в здравоохранении</w:t>
            </w:r>
          </w:p>
        </w:tc>
        <w:tc>
          <w:tcPr>
            <w:tcW w:type="dxa" w:w="261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Прозрачное назначение, ограничения, ответственность и защита данных должны сопровождать результат</w:t>
            </w:r>
          </w:p>
        </w:tc>
        <w:tc>
          <w:tcPr>
            <w:tcW w:type="dxa" w:w="257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Это не медицинские диапазоны, лицензия датасета и не доказательство клинической эффективности</w:t>
            </w:r>
          </w:p>
        </w:tc>
      </w:tr>
    </w:tbl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Для доступа к credentialed-данным PhysioNet официальный FAQ требует индивидуальной аттестации, одобренного обучения и соглашения об использовании. Название «публично доступные данные» в статье нельзя интерпретировать как свободное распространение записей в GitHub. В рамках обзора закрытые медицинские записи не получались [L15].</w:t>
      </w:r>
    </w:p>
    <w:p>
      <w:bookmarkStart w:id="5" w:name="section_005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5. Критический синтез</w:t>
      </w:r>
      <w:bookmarkEnd w:id="5"/>
    </w:p>
    <w:p>
      <w:bookmarkStart w:id="6" w:name="section_006"/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5.1. Единую тему следует реализовывать через разные статистические задачи</w:t>
      </w:r>
      <w:bookmarkEnd w:id="6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M1 исследует заданный численный исход через год; M2 оценивает текущее САД на поперечных данных; M3 потребует прогноза по прошлой последовательности. Их нельзя объединять одним показателем «точность MedPredict». Необходимо сохранять отдельные паспорта данных, единицы, схемы проверки и версии моделей. САД в M2 не становится будущим прогнозом от употребления слова «prediction» в библиотеке или статье. Аналогично target M1 не становится вероятностью диабета [L01, L13, L14].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Работы [L03, L04] демонстрируют разные популяции и наборы признаков даже при одном названии исхода. Их результаты пригодны для проектирования сравнения, но не обосновывают перенос ошибки на NHANES или население Казахстана. В отобранных источниках не найдено подтверждение точного сценария текущей формы по пяти полям; это вывод об ограниченном наборе обзора, а не об отсутствии таких исследований вообще.</w:t>
      </w:r>
    </w:p>
    <w:p>
      <w:bookmarkStart w:id="7" w:name="section_007"/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5.2. Нейросеть — проверяемый кандидат, а не заранее установленный победитель</w:t>
      </w:r>
      <w:bookmarkEnd w:id="7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Формулировка дипломной темы требует исследовать нейросетевые методы, но не требует объявлять их превосходство. Табличный benchmark [L02] обосновывает честное сравнение. Для M1 небольшой объём делает особенно важными регуляризацию, умеренную сложность MLP и контроль переобучения; для M2 архитектура определяется фактической доступностью признаков. Предлагаются одинаковые обучающие и проверочные наблюдения для baseline и сети, а также сопоставимый бюджет настройки. Это проектные решения; эксперименты ещё не проведены.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Обучение и подбор параметров следует отделять от финального test. Преобразования, оценённые по всей выборке до разделения, способны передать сведения из проверки в обучение. Стандартное масштабированное представление учебного Diabetes требует прозрачного описания; для самостоятельного pipeline следует зафиксировать исходное представление и обучать преобразования на train. Ни высокая обучающая точность, ни выбор удачного seed не доказывают обобщение [L08, L09].</w:t>
      </w:r>
    </w:p>
    <w:p>
      <w:bookmarkStart w:id="8" w:name="section_008"/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5.3. Продольные данные не взаимозаменяемы</w:t>
      </w:r>
      <w:bookmarkEnd w:id="8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CGM-последовательности [L05] и клинические измерения ICU [L06, L15] отличаются частотой, пропусками, лечением и популяцией. Поэтому нельзя взять горизонт из статьи по OhioT1DM и автоматически присвоить его PhysioNet-кандидату. В M3 сначала проверяются доступ, измерения во времени и объём истории, затем утверждаются окно входа, horizon и правила формирования примеров. Если подходящей истории недостаточно, модуль остаётся исследовательским направлением без заявленного результата.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При временной проверке входное окно заканчивается до целевого значения; данные будущего не участвуют в заполнении пропусков на test. Перекрывающиеся окна и повторные записи требуют контроля границ разделения. Нужно отдельно определить сценарий — прогноз для известных участников или перенос на новых людей: эти варианты дают разные доказательства. Teacher–student-подход [L05] иллюстрирует различие информации обучения и inference, но усложнение такого уровня не требуется для первого эксперимента MedPredict.</w:t>
      </w:r>
    </w:p>
    <w:p>
      <w:bookmarkStart w:id="9" w:name="section_009"/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5.4. Ошибка, калибровка и перенос отвечают на разные вопросы</w:t>
      </w:r>
      <w:bookmarkEnd w:id="9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Для планируемых непрерывных исходов предлагаются MAE и RMSE в шкале target, R², систематическое смещение и графики наблюдаемых/предсказанных значений. Для M2 единицы — мм рт. ст.; для M1 нужно использовать корректное название шкалы исходного набора; для M3 единицы и горизонт указываются вместе с каждой оценкой. Уменьшение ошибки по сравнению с baseline проверяется на одной схеме split. Численные допуски MedPredict до согласования не устанавливаются [L04, L09, L10].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Случайный holdout оценивает лишь соответствующий внутренний сценарий. Независимая проверка в другой популяции или периоде требует релевантных новых данных и применения зафиксированной модели; её нельзя заменить переобучением на «внешней» выборке [L10]. Неопределённость и ошибки существенных групп необходимо описывать по достаточности данных. Низкая средняя ошибка не подтверждает безопасность редких случаев.</w:t>
      </w:r>
    </w:p>
    <w:p>
      <w:bookmarkStart w:id="10" w:name="section_010"/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5.5. Объяснение и инженерная интеграция не заменяют научную оценку</w:t>
      </w:r>
      <w:bookmarkEnd w:id="10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Прозрачность означает возможность узнать назначение, признаки, шкалу, версию и ограничения ответа. Локальная объясняющая диаграмма сама по себе не удостоверяет правильность конкретного прогноза [L11]. На текущем этапе научно корректнее предъявить понятный паспорт модели и результаты согласованного сравнения, чем обещать объяснение причин заболевания.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При переносе в Java сохраняются порядок признаков, кодирование, единицы, заполнение пропусков и масштабирование. ONNX Runtime [L16] подтверждает наличие инженерного варианта, но не готовность экспорта моделей MedPredict. Команде предстоит сравнить выход Python и Java на закреплённых синтетических входах с заранее определённым численным допуском. HTTP-успех и совпадение двух runtime подтверждают техническую согласованность, а не клиническую полезность. Изменения данных после интеграции требуют отдельного контроля [L12].</w:t>
      </w:r>
    </w:p>
    <w:p>
      <w:bookmarkStart w:id="11" w:name="section_011"/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5.6. Исследовательский вклад должен следовать из выполненной работы</w:t>
      </w:r>
      <w:bookmarkEnd w:id="11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Обоснованный предполагаемый вклад MedPredict — воспроизводимая организация трёх разных задач в общей архитектуре, сравнение нейросети с baseline для каждого реализованного модуля и корректное представление ограничений. Новизна этого вклада пока не установлена экспериментально. Создание интерфейса, использование MLP/LSTM или объединение известных библиотек само по себе не доказывает научную новизну, превосходство и клиническую пригодность. Отчётность следует строить по [L07], критическую оценку — по [L08].</w:t>
      </w:r>
    </w:p>
    <w:p>
      <w:bookmarkStart w:id="12" w:name="section_012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6. Решения, которые требуется принять до обучения</w:t>
      </w:r>
      <w:bookmarkEnd w:id="12"/>
    </w:p>
    <w:p>
      <w:pPr>
        <w:pStyle w:val="Caption"/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</w:rPr>
        <w:t>Таблица 4 — Следствия обзора для будущего протокола.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486"/>
        <w:gridCol w:w="3042"/>
        <w:gridCol w:w="2123"/>
        <w:gridCol w:w="1987"/>
      </w:tblGrid>
      <w:tr>
        <w:trPr>
          <w:cantSplit/>
          <w:tblHeader/>
        </w:trPr>
        <w:tc>
          <w:tcPr>
            <w:tcW w:type="dxa" w:w="2486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Решение</w:t>
            </w:r>
          </w:p>
        </w:tc>
        <w:tc>
          <w:tcPr>
            <w:tcW w:type="dxa" w:w="3042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Минимальное свидетельство завершения</w:t>
            </w:r>
          </w:p>
        </w:tc>
        <w:tc>
          <w:tcPr>
            <w:tcW w:type="dxa" w:w="2123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Ответственные</w:t>
            </w:r>
          </w:p>
        </w:tc>
        <w:tc>
          <w:tcPr>
            <w:tcW w:type="dxa" w:w="1987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248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Паспорт M1: загрузка, target, 10 исходных признаков, преобразования</w:t>
            </w:r>
          </w:p>
        </w:tc>
        <w:tc>
          <w:tcPr>
            <w:tcW w:type="dxa" w:w="304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Согласованный паспорт и воспроизводимый код получения данных; проверенная подпись target без диагностической трактовки</w:t>
            </w:r>
          </w:p>
        </w:tc>
        <w:tc>
          <w:tcPr>
            <w:tcW w:type="dxa" w:w="212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Али; научный руководитель; Санат для представления</w:t>
            </w:r>
          </w:p>
        </w:tc>
        <w:tc>
          <w:tcPr>
            <w:tcW w:type="dxa" w:w="1987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Требуется</w:t>
            </w:r>
          </w:p>
        </w:tc>
      </w:tr>
      <w:tr>
        <w:trPr>
          <w:cantSplit/>
        </w:trPr>
        <w:tc>
          <w:tcPr>
            <w:tcW w:type="dxa" w:w="248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Паспорт M2: цикл NHANES, популяция, исход, признаки, лекарства, пропуски и обследовательский дизайн</w:t>
            </w:r>
          </w:p>
        </w:tc>
        <w:tc>
          <w:tcPr>
            <w:tcW w:type="dxa" w:w="304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Явная схема извлечения/объединения и правило target; термин «оценка САД»</w:t>
            </w:r>
          </w:p>
        </w:tc>
        <w:tc>
          <w:tcPr>
            <w:tcW w:type="dxa" w:w="212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Али; научный руководитель</w:t>
            </w:r>
          </w:p>
        </w:tc>
        <w:tc>
          <w:tcPr>
            <w:tcW w:type="dxa" w:w="1987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Требуется</w:t>
            </w:r>
          </w:p>
        </w:tc>
      </w:tr>
      <w:tr>
        <w:trPr>
          <w:cantSplit/>
        </w:trPr>
        <w:tc>
          <w:tcPr>
            <w:tcW w:type="dxa" w:w="248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Осуществимость M3</w:t>
            </w:r>
          </w:p>
        </w:tc>
        <w:tc>
          <w:tcPr>
            <w:tcW w:type="dxa" w:w="304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Подтверждённый правомерный доступ; анализ временных меток и частоты; утверждённые окно, horizon, единицы и split</w:t>
            </w:r>
          </w:p>
        </w:tc>
        <w:tc>
          <w:tcPr>
            <w:tcW w:type="dxa" w:w="212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Али; научный руководитель</w:t>
            </w:r>
          </w:p>
        </w:tc>
        <w:tc>
          <w:tcPr>
            <w:tcW w:type="dxa" w:w="198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Требуется; набор и горизонт не утверждены</w:t>
            </w:r>
          </w:p>
        </w:tc>
      </w:tr>
      <w:tr>
        <w:trPr>
          <w:cantSplit/>
        </w:trPr>
        <w:tc>
          <w:tcPr>
            <w:tcW w:type="dxa" w:w="248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Единая честная оценка baseline и сети</w:t>
            </w:r>
          </w:p>
        </w:tc>
        <w:tc>
          <w:tcPr>
            <w:tcW w:type="dxa" w:w="304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Протокол до test; преобразования внутри train; независимая оценка и неопределённость; без вымышленных порогов</w:t>
            </w:r>
          </w:p>
        </w:tc>
        <w:tc>
          <w:tcPr>
            <w:tcW w:type="dxa" w:w="2123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Али</w:t>
            </w:r>
          </w:p>
        </w:tc>
        <w:tc>
          <w:tcPr>
            <w:tcW w:type="dxa" w:w="1987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 выполнена</w:t>
            </w:r>
          </w:p>
        </w:tc>
      </w:tr>
      <w:tr>
        <w:trPr>
          <w:cantSplit/>
        </w:trPr>
        <w:tc>
          <w:tcPr>
            <w:tcW w:type="dxa" w:w="248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Способ интеграции и защита от несовпадения preprocessing</w:t>
            </w:r>
          </w:p>
        </w:tc>
        <w:tc>
          <w:tcPr>
            <w:tcW w:type="dxa" w:w="304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Согласованный контракт; зафиксированные артефакты; тесты равенства Python/Java</w:t>
            </w:r>
          </w:p>
        </w:tc>
        <w:tc>
          <w:tcPr>
            <w:tcW w:type="dxa" w:w="212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Оралхан и Али; Санат для API-представления</w:t>
            </w:r>
          </w:p>
        </w:tc>
        <w:tc>
          <w:tcPr>
            <w:tcW w:type="dxa" w:w="1987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Предложено</w:t>
            </w:r>
          </w:p>
        </w:tc>
      </w:tr>
      <w:tr>
        <w:trPr>
          <w:cantSplit/>
        </w:trPr>
        <w:tc>
          <w:tcPr>
            <w:tcW w:type="dxa" w:w="248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Корректное описание результата</w:t>
            </w:r>
          </w:p>
        </w:tc>
        <w:tc>
          <w:tcPr>
            <w:tcW w:type="dxa" w:w="304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Указаны модуль, единицы, версия, область применимости и учебный статус</w:t>
            </w:r>
          </w:p>
        </w:tc>
        <w:tc>
          <w:tcPr>
            <w:tcW w:type="dxa" w:w="212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Санат, Али, Оралхан</w:t>
            </w:r>
          </w:p>
        </w:tc>
        <w:tc>
          <w:tcPr>
            <w:tcW w:type="dxa" w:w="198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Должно проверяться для каждого будущего модуля</w:t>
            </w:r>
          </w:p>
        </w:tc>
      </w:tr>
    </w:tbl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Рекомендуемая последовательность — сначала полный воспроизводимый M1, затем M2 с паспортом NHANES, затем решение об осуществимости M3. Это стратегия уменьшения неопределённости; сроки и результаты обучения не выдаются за состоявшиеся факты. Отсутствие преимущества MLP над baseline допустимо как исследовательский результат и должно быть отражено в отчёте.</w:t>
      </w:r>
    </w:p>
    <w:p>
      <w:bookmarkStart w:id="13" w:name="section_013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7. Библиографический список и проверка источников</w:t>
      </w:r>
      <w:bookmarkEnd w:id="13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Все записи проверялись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16.10.2026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. DOI ведут на устойчивую библиографическую запись; дополнительные URL указывают использованный текст или официальную документацию. Сведения из PubMed относятся к оригинальной публикации, а не к отдельному исследованию.</w:t>
      </w:r>
    </w:p>
    <w:p>
      <w:pPr>
        <w:keepLines/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1.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[L01]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Efron B., Hastie T., Johnstone I., Tibshirani R. Least angle regression. </w:t>
      </w:r>
      <w:r>
        <w:rPr>
          <w:rFonts w:ascii="Times New Roman" w:hAnsi="Times New Roman" w:eastAsia="Times New Roman" w:cs="Times New Roman"/>
          <w:b w:val="0"/>
          <w:i/>
          <w:color w:val="000000"/>
        </w:rPr>
        <w:t>The Annals of Statistics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. 2004;32(2):407–451. DOI: </w:t>
      </w:r>
      <w:hyperlink r:id="rId10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10.1214/009053604000000067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. Проверены авторский текст и связь с Diabetes: </w:t>
      </w:r>
      <w:hyperlink r:id="rId22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Stanford, PDF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; метаданные финальной публикации сверены с академической записью </w:t>
      </w:r>
      <w:hyperlink r:id="rId23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University of Miami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>. Авторский PDF представляет раннюю версию, не отдельный источник результатов.</w:t>
      </w:r>
    </w:p>
    <w:p>
      <w:pPr>
        <w:keepLines/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2.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[L02]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Grinsztajn L., Oyallon E., Varoquaux G. Why do tree-based models still outperform deep learning on typical tabular data? </w:t>
      </w:r>
      <w:r>
        <w:rPr>
          <w:rFonts w:ascii="Times New Roman" w:hAnsi="Times New Roman" w:eastAsia="Times New Roman" w:cs="Times New Roman"/>
          <w:b w:val="0"/>
          <w:i/>
          <w:color w:val="000000"/>
        </w:rPr>
        <w:t>Advances in Neural Information Processing Systems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. 2022;35:507–520. </w:t>
      </w:r>
      <w:hyperlink r:id="rId11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Официальные материалы NeurIPS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hyperlink r:id="rId24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полный PDF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>. Проверены публикация и методика benchmark.</w:t>
      </w:r>
    </w:p>
    <w:p>
      <w:pPr>
        <w:keepLines/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3.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[L03]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Hrytsenko Y., Shea B., Elgart M., et al. Machine learning models for predicting blood pressure phenotypes by combining multiple polygenic risk scores. </w:t>
      </w:r>
      <w:r>
        <w:rPr>
          <w:rFonts w:ascii="Times New Roman" w:hAnsi="Times New Roman" w:eastAsia="Times New Roman" w:cs="Times New Roman"/>
          <w:b w:val="0"/>
          <w:i/>
          <w:color w:val="000000"/>
        </w:rPr>
        <w:t>Scientific Reports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. 2024;14:12436. DOI: </w:t>
      </w:r>
      <w:hyperlink r:id="rId12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10.1038/s41598-024-62945-9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. </w:t>
      </w:r>
      <w:hyperlink r:id="rId25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Полный текст издателя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>. Проверены исходы, данные, методы и PVE.</w:t>
      </w:r>
    </w:p>
    <w:p>
      <w:pPr>
        <w:keepLines/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4.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[L04]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Najafi-Vosough R., Faradmal J., Hosseini S.K., Moghimbeigi A., Mahjub H. Longitudinal machine learning model for predicting systolic blood pressure in patients with heart failure. </w:t>
      </w:r>
      <w:r>
        <w:rPr>
          <w:rFonts w:ascii="Times New Roman" w:hAnsi="Times New Roman" w:eastAsia="Times New Roman" w:cs="Times New Roman"/>
          <w:b w:val="0"/>
          <w:i/>
          <w:color w:val="000000"/>
        </w:rPr>
        <w:t>Journal of Preventive Medicine and Hygiene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. 2023;64(2):E226–E231. DOI: </w:t>
      </w:r>
      <w:hyperlink r:id="rId13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10.15167/2421-4248/jpmh2023.64.2.2887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. </w:t>
      </w:r>
      <w:hyperlink r:id="rId26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PDF издателя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>. Проверены методы и таблица III с train/test-ошибками.</w:t>
      </w:r>
    </w:p>
    <w:p>
      <w:pPr>
        <w:keepLines/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5.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[L05]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Sun X., Li H., Yu X. Future-aware blood glucose forecasting using knowledge distillation with transformer-based sequence-to-sequence models. </w:t>
      </w:r>
      <w:r>
        <w:rPr>
          <w:rFonts w:ascii="Times New Roman" w:hAnsi="Times New Roman" w:eastAsia="Times New Roman" w:cs="Times New Roman"/>
          <w:b w:val="0"/>
          <w:i/>
          <w:color w:val="000000"/>
        </w:rPr>
        <w:t>Scientific Reports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. 2026;16:11404. Опубликована 28.02.2026. DOI: </w:t>
      </w:r>
      <w:hyperlink r:id="rId14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10.1038/s41598-026-41787-7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. </w:t>
      </w:r>
      <w:hyperlink r:id="rId27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Полный текст издателя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>. Проверены данные, режим teacher/student, горизонты, метрики и ограничения; эксперименты не воспроизводились.</w:t>
      </w:r>
    </w:p>
    <w:p>
      <w:pPr>
        <w:keepLines/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6.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[L06]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Robles Arévalo A., Maley J.H., Baker L., et al. Data-driven curation process for describing the blood glucose management in the intensive care unit. </w:t>
      </w:r>
      <w:r>
        <w:rPr>
          <w:rFonts w:ascii="Times New Roman" w:hAnsi="Times New Roman" w:eastAsia="Times New Roman" w:cs="Times New Roman"/>
          <w:b w:val="0"/>
          <w:i/>
          <w:color w:val="000000"/>
        </w:rPr>
        <w:t>Scientific Data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. 2021;8:80. DOI: </w:t>
      </w:r>
      <w:hyperlink r:id="rId15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10.1038/s41597-021-00864-4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. </w:t>
      </w:r>
      <w:hyperlink r:id="rId28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Авторский полный текст в PMC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hyperlink r:id="rId29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PDF издателя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>. Проверены происхождение данных и назначение курации.</w:t>
      </w:r>
    </w:p>
    <w:p>
      <w:pPr>
        <w:keepLines/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7.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[L07]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Collins G.S., Moons K.G.M., Dhiman P., et al. TRIPOD+AI statement: updated guidance for reporting clinical prediction models that use regression or machine learning methods. </w:t>
      </w:r>
      <w:r>
        <w:rPr>
          <w:rFonts w:ascii="Times New Roman" w:hAnsi="Times New Roman" w:eastAsia="Times New Roman" w:cs="Times New Roman"/>
          <w:b w:val="0"/>
          <w:i/>
          <w:color w:val="000000"/>
        </w:rPr>
        <w:t>BMJ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. 2024;385:e078378. DOI: </w:t>
      </w:r>
      <w:hyperlink r:id="rId16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10.1136/bmj-2023-078378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. </w:t>
      </w:r>
      <w:hyperlink r:id="rId30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Полный текст в PMC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>. Проверены название, назначение и структура. Запись исправления BMJ q902 не считалась отдельным источником.</w:t>
      </w:r>
    </w:p>
    <w:p>
      <w:pPr>
        <w:keepLines/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8.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[L08]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Moons K.G.M., Damen J.A.A., Kaul T., et al. PROBAST+AI: an updated quality, risk of bias, and applicability assessment tool for prediction models using regression or artificial intelligence methods. </w:t>
      </w:r>
      <w:r>
        <w:rPr>
          <w:rFonts w:ascii="Times New Roman" w:hAnsi="Times New Roman" w:eastAsia="Times New Roman" w:cs="Times New Roman"/>
          <w:b w:val="0"/>
          <w:i/>
          <w:color w:val="000000"/>
        </w:rPr>
        <w:t>BMJ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. 2025;388:e082505. DOI: </w:t>
      </w:r>
      <w:hyperlink r:id="rId17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10.1136/bmj-2024-082505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. </w:t>
      </w:r>
      <w:hyperlink r:id="rId31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Статья издателя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hyperlink r:id="rId32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полный текст в PMC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>. Проверены метаданные и ключевые положения; полный формальный аудит включённых исследований по инструменту не выполнен.</w:t>
      </w:r>
    </w:p>
    <w:p>
      <w:pPr>
        <w:keepLines/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9.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[L09]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Efthimiou O., Seo M., Chalkou K., Debray T., Egger M., Salanti G. Developing clinical prediction models: a step-by-step guide. </w:t>
      </w:r>
      <w:r>
        <w:rPr>
          <w:rFonts w:ascii="Times New Roman" w:hAnsi="Times New Roman" w:eastAsia="Times New Roman" w:cs="Times New Roman"/>
          <w:b w:val="0"/>
          <w:i/>
          <w:color w:val="000000"/>
        </w:rPr>
        <w:t>BMJ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. 2024;386:e078276. DOI: </w:t>
      </w:r>
      <w:hyperlink r:id="rId18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10.1136/bmj-2023-078276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. </w:t>
      </w:r>
      <w:hyperlink r:id="rId33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PubMed: 39227063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hyperlink r:id="rId34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текст издателя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>. Проверены авторство, 13 шагов и границы примера.</w:t>
      </w:r>
    </w:p>
    <w:p>
      <w:pPr>
        <w:keepLines/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10.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[L10]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Riley R.D., Archer L., Snell K.I.E., et al. Evaluation of clinical prediction models (part 2): how to undertake an external validation study. </w:t>
      </w:r>
      <w:r>
        <w:rPr>
          <w:rFonts w:ascii="Times New Roman" w:hAnsi="Times New Roman" w:eastAsia="Times New Roman" w:cs="Times New Roman"/>
          <w:b w:val="0"/>
          <w:i/>
          <w:color w:val="000000"/>
        </w:rPr>
        <w:t>BMJ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. 2024;384:e074820. DOI: </w:t>
      </w:r>
      <w:hyperlink r:id="rId19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10.1136/bmj-2023-074820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. </w:t>
      </w:r>
      <w:hyperlink r:id="rId35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PubMed: 38224968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hyperlink r:id="rId36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текст издателя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>. Проверены определение внешней оценки и различия метрик по исходам.</w:t>
      </w:r>
    </w:p>
    <w:p>
      <w:pPr>
        <w:keepLines/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11.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[L11]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Ghassemi M., Oakden-Rayner L., Beam A.L. The false hope of current approaches to explainable artificial intelligence in health care. </w:t>
      </w:r>
      <w:r>
        <w:rPr>
          <w:rFonts w:ascii="Times New Roman" w:hAnsi="Times New Roman" w:eastAsia="Times New Roman" w:cs="Times New Roman"/>
          <w:b w:val="0"/>
          <w:i/>
          <w:color w:val="000000"/>
        </w:rPr>
        <w:t>The Lancet Digital Health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. 2021;3(11):e745–e750. DOI: </w:t>
      </w:r>
      <w:hyperlink r:id="rId20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10.1016/S2589-7500(21)00208-9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. </w:t>
      </w:r>
      <w:hyperlink r:id="rId37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PubMed: 34711379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>. Проверены библиографические сведения и авторский abstract; полный текст статьи издателя отдельно не проверялся.</w:t>
      </w:r>
    </w:p>
    <w:p>
      <w:pPr>
        <w:keepLines/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12.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[L12]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Finlayson S.G., Subbaswamy A., Singh K., et al. The Clinician and Dataset Shift in Artificial Intelligence. </w:t>
      </w:r>
      <w:r>
        <w:rPr>
          <w:rFonts w:ascii="Times New Roman" w:hAnsi="Times New Roman" w:eastAsia="Times New Roman" w:cs="Times New Roman"/>
          <w:b w:val="0"/>
          <w:i/>
          <w:color w:val="000000"/>
        </w:rPr>
        <w:t>The New England Journal of Medicine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. 2021;385:283–286. DOI: </w:t>
      </w:r>
      <w:hyperlink r:id="rId21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10.1056/NEJMc2104626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. </w:t>
      </w:r>
      <w:hyperlink r:id="rId38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Текст издателя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>. Проверены классификация shift и рекомендации по наблюдению; тип публикации — Correspondence.</w:t>
      </w:r>
    </w:p>
    <w:p>
      <w:pPr>
        <w:keepLines/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13.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[L13]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scikit-learn developers. </w:t>
      </w:r>
      <w:r>
        <w:rPr>
          <w:rFonts w:ascii="Times New Roman" w:hAnsi="Times New Roman" w:eastAsia="Times New Roman" w:cs="Times New Roman"/>
          <w:b w:val="0"/>
          <w:i/>
          <w:color w:val="000000"/>
        </w:rPr>
        <w:t>Diabetes dataset; load_diabetes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. Документация проекта. </w:t>
      </w:r>
      <w:hyperlink r:id="rId39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Описание набора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>. Проверены структура, target и масштабирование; онлайн-документация не закрепляет будущую версию экспериментального окружения MedPredict.</w:t>
      </w:r>
    </w:p>
    <w:p>
      <w:pPr>
        <w:keepLines/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14.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[L14]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CDC/NCHS. </w:t>
      </w:r>
      <w:r>
        <w:rPr>
          <w:rFonts w:ascii="Times New Roman" w:hAnsi="Times New Roman" w:eastAsia="Times New Roman" w:cs="Times New Roman"/>
          <w:b w:val="0"/>
          <w:i/>
          <w:color w:val="000000"/>
        </w:rPr>
        <w:t>NHANES 2017–March 2020 Data Documentation, Codebook, and Frequencies: Blood Pressure — Oscillometric Measurement (P_BPXO).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First published May 2021. </w:t>
      </w:r>
      <w:hyperlink r:id="rId40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Официальный кодбук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>. Проверены протокол, имена переменных, пропуски и аналитические замечания.</w:t>
      </w:r>
    </w:p>
    <w:p>
      <w:pPr>
        <w:keepLines/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15.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[L15]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Robles Arévalo A., Mateo-Collado R., Celi L.A. </w:t>
      </w:r>
      <w:r>
        <w:rPr>
          <w:rFonts w:ascii="Times New Roman" w:hAnsi="Times New Roman" w:eastAsia="Times New Roman" w:cs="Times New Roman"/>
          <w:b w:val="0"/>
          <w:i/>
          <w:color w:val="000000"/>
        </w:rPr>
        <w:t>Curated Data for Describing Blood Glucose Management in the Intensive Care Unit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version 1.0.1. PhysioNet, 19.04.2021. DOI: </w:t>
      </w:r>
      <w:hyperlink r:id="rId41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10.13026/517s-2q57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. </w:t>
      </w:r>
      <w:hyperlink r:id="rId42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Официальная страница набора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; условия credentialed-доступа уточнены по </w:t>
      </w:r>
      <w:hyperlink r:id="rId43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официальному FAQ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>. Проверены публичные метаданные/описание; загрузка закрытых файлов и предоставление доступа не выполнялись. Набор и статья [L06] — разные типы источников, не два независимых доказательства точности.</w:t>
      </w:r>
    </w:p>
    <w:p>
      <w:pPr>
        <w:keepLines/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16.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[L16]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ONNX Runtime contributors. </w:t>
      </w:r>
      <w:r>
        <w:rPr>
          <w:rFonts w:ascii="Times New Roman" w:hAnsi="Times New Roman" w:eastAsia="Times New Roman" w:cs="Times New Roman"/>
          <w:b w:val="0"/>
          <w:i/>
          <w:color w:val="000000"/>
        </w:rPr>
        <w:t>Get Started with ORT for Java.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</w:t>
      </w:r>
      <w:hyperlink r:id="rId44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Официальная документация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>. Проверены наличие Java binding, модели работы с входами и inference; собственный benchmark и экспорт MedPredict отсутствуют.</w:t>
      </w:r>
    </w:p>
    <w:p>
      <w:pPr>
        <w:keepLines/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17.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[L17]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World Health Organization. </w:t>
      </w:r>
      <w:r>
        <w:rPr>
          <w:rFonts w:ascii="Times New Roman" w:hAnsi="Times New Roman" w:eastAsia="Times New Roman" w:cs="Times New Roman"/>
          <w:b w:val="0"/>
          <w:i/>
          <w:color w:val="000000"/>
        </w:rPr>
        <w:t>Ethics and governance of artificial intelligence for health: WHO guidance.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Geneva: WHO; 2021. ISBN 9789240029200. </w:t>
      </w:r>
      <w:hyperlink r:id="rId45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Официальная публикация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>. Проверены библиографическая запись и назначение руководства.</w:t>
      </w:r>
    </w:p>
    <w:p>
      <w:bookmarkStart w:id="14" w:name="section_014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8. Журнал поиска и ограничения обзора</w:t>
      </w:r>
      <w:bookmarkEnd w:id="14"/>
    </w:p>
    <w:p>
      <w:pPr>
        <w:pStyle w:val="Caption"/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</w:rPr>
        <w:t>Таблица 5 — Основные фактически использованные поисковые направления 16.10.2026.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4459"/>
        <w:gridCol w:w="2728"/>
        <w:gridCol w:w="2450"/>
      </w:tblGrid>
      <w:tr>
        <w:trPr>
          <w:cantSplit/>
          <w:tblHeader/>
        </w:trPr>
        <w:tc>
          <w:tcPr>
            <w:tcW w:type="dxa" w:w="4459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Запрос / проверка</w:t>
            </w:r>
          </w:p>
        </w:tc>
        <w:tc>
          <w:tcPr>
            <w:tcW w:type="dxa" w:w="2728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Поверхность</w:t>
            </w:r>
          </w:p>
        </w:tc>
        <w:tc>
          <w:tcPr>
            <w:tcW w:type="dxa" w:w="2450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Включённые источники</w:t>
            </w:r>
          </w:p>
        </w:tc>
      </w:tr>
      <w:tr>
        <w:trPr>
          <w:cantSplit/>
        </w:trPr>
        <w:tc>
          <w:tcPr>
            <w:tcW w:type="dxa" w:w="445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site.projecteuclid.org Least angle regression 2004 diabetes 442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; открытие авторского PDF и академической записи</w:t>
            </w:r>
          </w:p>
        </w:tc>
        <w:tc>
          <w:tcPr>
            <w:tcW w:type="dxa" w:w="272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Project Euclid, Stanford, университетский каталог</w:t>
            </w:r>
          </w:p>
        </w:tc>
        <w:tc>
          <w:tcPr>
            <w:tcW w:type="dxa" w:w="2450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L01</w:t>
            </w:r>
          </w:p>
        </w:tc>
      </w:tr>
      <w:tr>
        <w:trPr>
          <w:cantSplit/>
        </w:trPr>
        <w:tc>
          <w:tcPr>
            <w:tcW w:type="dxa" w:w="445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site.proceedings.neurips.cc Why do tree-based models still outperform deep learning on typical tabular data 2022</w:t>
            </w:r>
          </w:p>
        </w:tc>
        <w:tc>
          <w:tcPr>
            <w:tcW w:type="dxa" w:w="272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Официальные материалы NeurIPS</w:t>
            </w:r>
          </w:p>
        </w:tc>
        <w:tc>
          <w:tcPr>
            <w:tcW w:type="dxa" w:w="2450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L02</w:t>
            </w:r>
          </w:p>
        </w:tc>
      </w:tr>
      <w:tr>
        <w:trPr>
          <w:cantSplit/>
        </w:trPr>
        <w:tc>
          <w:tcPr>
            <w:tcW w:type="dxa" w:w="445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Открытие DOI из существующего обзора по САД и PDF издателя; проверка test-метрик и дизайна</w:t>
            </w:r>
          </w:p>
        </w:tc>
        <w:tc>
          <w:tcPr>
            <w:tcW w:type="dxa" w:w="272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Scientific Reports, JPMH</w:t>
            </w:r>
          </w:p>
        </w:tc>
        <w:tc>
          <w:tcPr>
            <w:tcW w:type="dxa" w:w="2450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L03, L04</w:t>
            </w:r>
          </w:p>
        </w:tc>
      </w:tr>
      <w:tr>
        <w:trPr>
          <w:cantSplit/>
        </w:trPr>
        <w:tc>
          <w:tcPr>
            <w:tcW w:type="dxa" w:w="445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site.nature.com blood glucose forecasting neural network 2023 2024 continuous glucose monitoring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; открытие найденной публикации 2026 года</w:t>
            </w:r>
          </w:p>
        </w:tc>
        <w:tc>
          <w:tcPr>
            <w:tcW w:type="dxa" w:w="272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Scientific Reports</w:t>
            </w:r>
          </w:p>
        </w:tc>
        <w:tc>
          <w:tcPr>
            <w:tcW w:type="dxa" w:w="2450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L05</w:t>
            </w:r>
          </w:p>
        </w:tc>
      </w:tr>
      <w:tr>
        <w:trPr>
          <w:cantSplit/>
        </w:trPr>
        <w:tc>
          <w:tcPr>
            <w:tcW w:type="dxa" w:w="445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site.physionet.org glucose continuous glucose monitoring dataset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;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site.physionet.org "Curated Data for Describing Blood Glucose Management"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; проверка статьи и правил доступа</w:t>
            </w:r>
          </w:p>
        </w:tc>
        <w:tc>
          <w:tcPr>
            <w:tcW w:type="dxa" w:w="272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PhysioNet, Scientific Data, PMC</w:t>
            </w:r>
          </w:p>
        </w:tc>
        <w:tc>
          <w:tcPr>
            <w:tcW w:type="dxa" w:w="2450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L06, L15</w:t>
            </w:r>
          </w:p>
        </w:tc>
      </w:tr>
      <w:tr>
        <w:trPr>
          <w:cantSplit/>
        </w:trPr>
        <w:tc>
          <w:tcPr>
            <w:tcW w:type="dxa" w:w="445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Названия TRIPOD+AI, PROBAST+AI, step-by-step guide и external validation; сверка DOI, PubMed и первичного текста</w:t>
            </w:r>
          </w:p>
        </w:tc>
        <w:tc>
          <w:tcPr>
            <w:tcW w:type="dxa" w:w="272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BMJ, PubMed, PMC</w:t>
            </w:r>
          </w:p>
        </w:tc>
        <w:tc>
          <w:tcPr>
            <w:tcW w:type="dxa" w:w="2450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L07–L10</w:t>
            </w:r>
          </w:p>
        </w:tc>
      </w:tr>
      <w:tr>
        <w:trPr>
          <w:cantSplit/>
        </w:trPr>
        <w:tc>
          <w:tcPr>
            <w:tcW w:type="dxa" w:w="445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site.pubmed.ncbi.nlm.nih.gov "The false hope of current approaches"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;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site.nejm.org "The Clinician and Dataset Shift"</w:t>
            </w:r>
          </w:p>
        </w:tc>
        <w:tc>
          <w:tcPr>
            <w:tcW w:type="dxa" w:w="2728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PubMed, NEJM</w:t>
            </w:r>
          </w:p>
        </w:tc>
        <w:tc>
          <w:tcPr>
            <w:tcW w:type="dxa" w:w="2450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L11, L12</w:t>
            </w:r>
          </w:p>
        </w:tc>
      </w:tr>
      <w:tr>
        <w:trPr>
          <w:cantSplit/>
        </w:trPr>
        <w:tc>
          <w:tcPr>
            <w:tcW w:type="dxa" w:w="445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Прямое открытие официальных страниц Diabetes, P_BPXO, ONNX Java и WHO</w:t>
            </w:r>
          </w:p>
        </w:tc>
        <w:tc>
          <w:tcPr>
            <w:tcW w:type="dxa" w:w="272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scikit-learn, CDC/NCHS, ONNX Runtime, WHO</w:t>
            </w:r>
          </w:p>
        </w:tc>
        <w:tc>
          <w:tcPr>
            <w:tcW w:type="dxa" w:w="245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L13, L14, L16, L17</w:t>
            </w:r>
          </w:p>
        </w:tc>
      </w:tr>
    </w:tbl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Поиск ограничен доступными англоязычными первичными и официальными источниками; полного экспорта Scopus/Web of Science и независимого двойного отбора не было. Часть прямых страниц BMJ/PhysioNet отвечала нестабильно; использованы доступные первичные тексты, PDF, индексируемые описания и PubMed для сверки. Подробный повторный анализ исходных данных, воспроизведение чужих экспериментов и проверка репозиториев моделей не выполнялись. Формальный балльный рейтинг качества статей и полноценная оценка всех доменов PROBAST+AI не заявляются.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Свежесть публикации отделена от периода сбора данных: статья 2024–2026 годов не обязательно использует новые или применимые к Казахстану наблюдения. Условий применимости к локальной популяции, медицинских порогов пригодности и клинической эффективности MedPredict обзор не установил. Перед окончательной дипломной защитой поиск потребуется обновить, а выводы дополнить собственными воспроизводимыми экспериментами.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На 16.10.2026 все три модели остаются нереализованными в представленном репозитории; результаты литературы не подменяют эту недостающую работу. MedPredict рассматривается как учебный исследовательский прототип, без статуса одобренной системы диагностики или лечения.</w:t>
      </w:r>
    </w:p>
    <w:sectPr w:rsidR="00FC693F" w:rsidRPr="0006063C" w:rsidSect="00034616"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69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9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69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69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120"/>
    </w:pPr>
    <w:rPr>
      <w:rFonts w:ascii="Times New Roman" w:hAnsi="Times New Roman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oi.org/10.1214/009053604000000067" TargetMode="External"/><Relationship Id="rId11" Type="http://schemas.openxmlformats.org/officeDocument/2006/relationships/hyperlink" Target="https://proceedings.neurips.cc/paper_files/paper/2022/hash/0378c7692da36807bdec87ab043cdadc-Abstract-Datasets_and_Benchmarks.html" TargetMode="External"/><Relationship Id="rId12" Type="http://schemas.openxmlformats.org/officeDocument/2006/relationships/hyperlink" Target="https://doi.org/10.1038/s41598-024-62945-9" TargetMode="External"/><Relationship Id="rId13" Type="http://schemas.openxmlformats.org/officeDocument/2006/relationships/hyperlink" Target="https://doi.org/10.15167/2421-4248/jpmh2023.64.2.2887" TargetMode="External"/><Relationship Id="rId14" Type="http://schemas.openxmlformats.org/officeDocument/2006/relationships/hyperlink" Target="https://doi.org/10.1038/s41598-026-41787-7" TargetMode="External"/><Relationship Id="rId15" Type="http://schemas.openxmlformats.org/officeDocument/2006/relationships/hyperlink" Target="https://doi.org/10.1038/s41597-021-00864-4" TargetMode="External"/><Relationship Id="rId16" Type="http://schemas.openxmlformats.org/officeDocument/2006/relationships/hyperlink" Target="https://doi.org/10.1136/bmj-2023-078378" TargetMode="External"/><Relationship Id="rId17" Type="http://schemas.openxmlformats.org/officeDocument/2006/relationships/hyperlink" Target="https://doi.org/10.1136/bmj-2024-082505" TargetMode="External"/><Relationship Id="rId18" Type="http://schemas.openxmlformats.org/officeDocument/2006/relationships/hyperlink" Target="https://doi.org/10.1136/bmj-2023-078276" TargetMode="External"/><Relationship Id="rId19" Type="http://schemas.openxmlformats.org/officeDocument/2006/relationships/hyperlink" Target="https://doi.org/10.1136/bmj-2023-074820" TargetMode="External"/><Relationship Id="rId20" Type="http://schemas.openxmlformats.org/officeDocument/2006/relationships/hyperlink" Target="https://doi.org/10.1016/S2589-7500(21)00208-9" TargetMode="External"/><Relationship Id="rId21" Type="http://schemas.openxmlformats.org/officeDocument/2006/relationships/hyperlink" Target="https://doi.org/10.1056/NEJMc2104626" TargetMode="External"/><Relationship Id="rId22" Type="http://schemas.openxmlformats.org/officeDocument/2006/relationships/hyperlink" Target="https://web.stanford.edu/~hastie/Papers/LARS/LeastAngle_2002.pdf" TargetMode="External"/><Relationship Id="rId23" Type="http://schemas.openxmlformats.org/officeDocument/2006/relationships/hyperlink" Target="https://scholarship.miami.edu/esploro/outputs/journalArticle/Least-angle-regression/991031598666102976" TargetMode="External"/><Relationship Id="rId24" Type="http://schemas.openxmlformats.org/officeDocument/2006/relationships/hyperlink" Target="https://proceedings.neurips.cc/paper_files/paper/2022/file/0378c7692da36807bdec87ab043cdadc-Paper-Datasets_and_Benchmarks.pdf" TargetMode="External"/><Relationship Id="rId25" Type="http://schemas.openxmlformats.org/officeDocument/2006/relationships/hyperlink" Target="https://www.nature.com/articles/s41598-024-62945-9" TargetMode="External"/><Relationship Id="rId26" Type="http://schemas.openxmlformats.org/officeDocument/2006/relationships/hyperlink" Target="https://www.jpmh.org/index.php/jpmh/article/download/2887/1104/18399" TargetMode="External"/><Relationship Id="rId27" Type="http://schemas.openxmlformats.org/officeDocument/2006/relationships/hyperlink" Target="https://www.nature.com/articles/s41598-026-41787-7" TargetMode="External"/><Relationship Id="rId28" Type="http://schemas.openxmlformats.org/officeDocument/2006/relationships/hyperlink" Target="https://pmc.ncbi.nlm.nih.gov/articles/PMC7946873/" TargetMode="External"/><Relationship Id="rId29" Type="http://schemas.openxmlformats.org/officeDocument/2006/relationships/hyperlink" Target="https://www.nature.com/articles/s41597-021-00864-4.pdf" TargetMode="External"/><Relationship Id="rId30" Type="http://schemas.openxmlformats.org/officeDocument/2006/relationships/hyperlink" Target="https://pmc.ncbi.nlm.nih.gov/articles/PMC11019967/" TargetMode="External"/><Relationship Id="rId31" Type="http://schemas.openxmlformats.org/officeDocument/2006/relationships/hyperlink" Target="https://www.bmj.com/content/388/bmj-2024-082505" TargetMode="External"/><Relationship Id="rId32" Type="http://schemas.openxmlformats.org/officeDocument/2006/relationships/hyperlink" Target="https://pmc.ncbi.nlm.nih.gov/articles/PMC11931409/" TargetMode="External"/><Relationship Id="rId33" Type="http://schemas.openxmlformats.org/officeDocument/2006/relationships/hyperlink" Target="https://pubmed.ncbi.nlm.nih.gov/39227063/" TargetMode="External"/><Relationship Id="rId34" Type="http://schemas.openxmlformats.org/officeDocument/2006/relationships/hyperlink" Target="https://www.bmj.com/content/386/bmj-2023-078276" TargetMode="External"/><Relationship Id="rId35" Type="http://schemas.openxmlformats.org/officeDocument/2006/relationships/hyperlink" Target="https://pubmed.ncbi.nlm.nih.gov/38224968/" TargetMode="External"/><Relationship Id="rId36" Type="http://schemas.openxmlformats.org/officeDocument/2006/relationships/hyperlink" Target="https://www.bmj.com/content/384/bmj-2023-074820" TargetMode="External"/><Relationship Id="rId37" Type="http://schemas.openxmlformats.org/officeDocument/2006/relationships/hyperlink" Target="https://pubmed.ncbi.nlm.nih.gov/34711379/" TargetMode="External"/><Relationship Id="rId38" Type="http://schemas.openxmlformats.org/officeDocument/2006/relationships/hyperlink" Target="https://www.nejm.org/doi/full/10.1056/NEJMc2104626" TargetMode="External"/><Relationship Id="rId39" Type="http://schemas.openxmlformats.org/officeDocument/2006/relationships/hyperlink" Target="https://scikit-learn.org/stable/datasets/toy_dataset.html#diabetes-dataset" TargetMode="External"/><Relationship Id="rId40" Type="http://schemas.openxmlformats.org/officeDocument/2006/relationships/hyperlink" Target="https://wwwn.cdc.gov/Nchs/Data/Nhanes/Public/2017/DataFiles/P_BPXO.htm" TargetMode="External"/><Relationship Id="rId41" Type="http://schemas.openxmlformats.org/officeDocument/2006/relationships/hyperlink" Target="https://doi.org/10.13026/517s-2q57" TargetMode="External"/><Relationship Id="rId42" Type="http://schemas.openxmlformats.org/officeDocument/2006/relationships/hyperlink" Target="https://physionet.org/content/glucose-management-mimic/1.0.1/" TargetMode="External"/><Relationship Id="rId43" Type="http://schemas.openxmlformats.org/officeDocument/2006/relationships/hyperlink" Target="https://physionet.org/about/faqs/" TargetMode="External"/><Relationship Id="rId44" Type="http://schemas.openxmlformats.org/officeDocument/2006/relationships/hyperlink" Target="https://onnxruntime.ai/docs/get-started/with-java.html" TargetMode="External"/><Relationship Id="rId45" Type="http://schemas.openxmlformats.org/officeDocument/2006/relationships/hyperlink" Target="https://www.who.int/publications/i/item/97892400292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Критический обзор литературы MedPredict</dc:title>
  <dc:subject>Первая предварительная защита 24.10.2026</dc:subject>
  <dc:creator>MedPredict</dc:creator>
  <cp:keywords/>
  <dc:description>Source: docs/literature-review/MedPredict_Literature_Review.md</dc:description>
  <cp:lastModifiedBy/>
  <cp:revision>1</cp:revision>
  <dcterms:created xsi:type="dcterms:W3CDTF">2013-12-23T23:15:00Z</dcterms:created>
  <dcterms:modified xsi:type="dcterms:W3CDTF">2013-12-23T23:15:00Z</dcterms:modified>
  <cp:category/>
  <dc:identifier>medpredict-predefense-builder-v1</dc:identifier>
</cp:coreProperties>
</file>