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Спецификация требований к программному обеспечению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Версия 1.0 для первой предзащиты 24 октября 2026 года. Дата подготовки: 16 октября 2026 года. Статус: проект требований команды, подлежащий согласованию с научным руководителем и ответственными за backend и модели.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Официальная 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«Разработка интеллектуальной системы прогнозирования медицинских показателей на основе нейронных сетей».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Организация: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Astana IT University, Software Engineering, группа SE-2409.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1. Назначение и основания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2. Область и подтверждённое состояние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3. Обозначения и управление требованиями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4. Функциональные требования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5. Нефункциональные требования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6. Контракт и данные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7. Прослеживаемость требований</w:t>
        </w:r>
      </w:hyperlink>
    </w:p>
    <w:p>
      <w:hyperlink w:anchor="section_010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8. Поэтапная приёмка</w:t>
        </w:r>
      </w:hyperlink>
    </w:p>
    <w:p>
      <w:hyperlink w:anchor="section_01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9. Открытые решения и владельцы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Назначение и основания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Документ задаёт проверяемые требования к учебному исследовательскому прототипу MedPredict и разделяет существующую реализацию, подготовленные клиентские адаптеры и будущие функции. Основания: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предоставленные требования университета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; актуальные исходники frontend; существующие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docs/requirements.md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docs/architecture.md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docs/api-contract.md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; предоставленное задание по подготовке материалов первой предзащиты. Старые документы сохраняются; настоящий документ расширяет их без изменения действующего API.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Система предназначена для исследования оценки и прогнозирования числовых медицинских показателей. Она не является утверждённым средством диагностики, назначения лечения или индивидуальных клинических решений. До согласования обработки реальных данных демонстрация и технические проверки используют синтетические примеры.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Требования к модели, её качеству и внедрению не считаются выполненными на основании наличия интерфейса или фиксированного демонстрационного ответа.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Область и подтверждённое состояние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62"/>
        <w:gridCol w:w="3096"/>
        <w:gridCol w:w="3979"/>
      </w:tblGrid>
      <w:tr>
        <w:trPr>
          <w:cantSplit/>
          <w:tblHeader/>
        </w:trPr>
        <w:tc>
          <w:tcPr>
            <w:tcW w:type="dxa" w:w="256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Объект</w:t>
            </w:r>
          </w:p>
        </w:tc>
        <w:tc>
          <w:tcPr>
            <w:tcW w:type="dxa" w:w="309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Состояние на 16.10.2026</w:t>
            </w:r>
          </w:p>
        </w:tc>
        <w:tc>
          <w:tcPr>
            <w:tcW w:type="dxa" w:w="397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Основание / ограничение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React + TypeScript + Vite frontend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Реализован в данном репозитории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package.json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наличие тестов не равнозначно результату их нового запуска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Демонстрационный адаптер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Реализован фиксированный пример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src/api/demo.ts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: ответ 134,2 мм рт. ст., версия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demo-example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, независимо от входа; это не модель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 real-режима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Реализованы HTTP-адаптер, проверки контракта и состояния UI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Проверяемый через фикстуры; сквозная интеграция с настоящим сервером не подтверждена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Spring Boot backend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 сообщению команды находится в разработке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Исходников сервера в данном репозитории нет; готовность не подтверждена кодом или интеграционным прогоном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исследовательских модуля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Предлагаются, реализация не подтверждена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Обученные артефакты, результаты экспериментов и их интеграция не представлены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Аккаунт, аутентификация, история, удаление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Существуют страницы с отключёнными действиями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Ввод паролей и серверные действия недоступны; успешный вход и сохранение не имитируются</w:t>
            </w:r>
          </w:p>
        </w:tc>
      </w:tr>
      <w:tr>
        <w:trPr>
          <w:cantSplit/>
        </w:trPr>
        <w:tc>
          <w:tcPr>
            <w:tcW w:type="dxa" w:w="256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UI/UX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Есть реализованные страницы и материалы дизайна</w:t>
            </w:r>
          </w:p>
        </w:tc>
        <w:tc>
          <w:tcPr>
            <w:tcW w:type="dxa" w:w="397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Это свидетельство прототипа, а не доказательство пользовательской валидации или согласования Figma</w:t>
            </w:r>
          </w:p>
        </w:tc>
      </w:tr>
    </w:tbl>
    <w:p>
      <w:bookmarkStart w:id="3" w:name="section_003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2.1. Три независимых предлагаемых модуля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00"/>
        <w:gridCol w:w="1896"/>
        <w:gridCol w:w="2698"/>
        <w:gridCol w:w="3044"/>
      </w:tblGrid>
      <w:tr>
        <w:trPr>
          <w:cantSplit/>
          <w:tblHeader/>
        </w:trPr>
        <w:tc>
          <w:tcPr>
            <w:tcW w:type="dxa" w:w="200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 / задача</w:t>
            </w:r>
          </w:p>
        </w:tc>
        <w:tc>
          <w:tcPr>
            <w:tcW w:type="dxa" w:w="189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Кандидат данных</w:t>
            </w:r>
          </w:p>
        </w:tc>
        <w:tc>
          <w:tcPr>
            <w:tcW w:type="dxa" w:w="269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Метод и результат</w:t>
            </w:r>
          </w:p>
        </w:tc>
        <w:tc>
          <w:tcPr>
            <w:tcW w:type="dxa" w:w="304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Состояние / обязательное решение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— Diabetes Progression</w:t>
            </w:r>
          </w:p>
        </w:tc>
        <w:tc>
          <w:tcPr>
            <w:tcW w:type="dxa" w:w="18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scikit-learn Diabetes</w:t>
            </w:r>
          </w:p>
        </w:tc>
        <w:tc>
          <w:tcPr>
            <w:tcW w:type="dxa" w:w="26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Базовая регрессия и MLP; оценка числового целевого показателя набора, без интерпретации как диагноза</w:t>
            </w:r>
          </w:p>
        </w:tc>
        <w:tc>
          <w:tcPr>
            <w:tcW w:type="dxa" w:w="304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реализован; утвердить признаки, значение target и протокол оценки; физическая единица target не предполагается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 — Systolic Blood Pressure Estimation</w:t>
            </w:r>
          </w:p>
        </w:tc>
        <w:tc>
          <w:tcPr>
            <w:tcW w:type="dxa" w:w="189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NHANES</w:t>
            </w:r>
          </w:p>
        </w:tc>
        <w:tc>
          <w:tcPr>
            <w:tcW w:type="dxa" w:w="26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Базовая регрессия и MLP; оценка систолического давления в mmHg (мм рт. ст.)</w:t>
            </w:r>
          </w:p>
        </w:tc>
        <w:tc>
          <w:tcPr>
            <w:tcW w:type="dxa" w:w="304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реализован; утвердить цикл/выборку, переменные, правила измерений и исключения; оценка текущего показателя не является прогнозом будущего времени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 — Glucose Forecasting</w:t>
            </w:r>
          </w:p>
        </w:tc>
        <w:tc>
          <w:tcPr>
            <w:tcW w:type="dxa" w:w="18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Подходящий продольный набор PhysioNet</w:t>
            </w:r>
          </w:p>
        </w:tc>
        <w:tc>
          <w:tcPr>
            <w:tcW w:type="dxa" w:w="269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Временной baseline и подходящая нейросеть, потенциально LSTM; исследование краткосрочного прогноза</w:t>
            </w:r>
          </w:p>
        </w:tc>
        <w:tc>
          <w:tcPr>
            <w:tcW w:type="dxa" w:w="304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реализован; набор, права доступа, горизонт, частота, окно и единицы не утверждены; поперечные данные не заменяют временной ряд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Модули имеют разные целевые переменные, признаки и протоколы оценки. Наличие общих архитектурных компонентов не означает единую модель. Текущая демонстрационная форма давления не реализует M2, а HTTP-контракт пока описывает один набор метаданных и один результат. API выбора модуля ещё не определён.</w:t>
      </w:r>
    </w:p>
    <w:p>
      <w:bookmarkStart w:id="4" w:name="section_004"/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2.2. Пользователи и границы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Основные пользователи прототипа — участники демонстрации и потенциальные представители учебно-исследовательской аудитории. Их реальные задачи и потребности подлежат проверке пользовательским исследованием; они не объявляются подтверждёнными только по описанию проекта. Команда и руководитель выступают участниками проверки проекта. Клинические пользователи и пациенты не считаются подтверждённой целевой группой.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 текущий объём входят ввод, проверка, запрос, показ результата, ошибки, отмена, локализация и локальный PDF. Будущие модельные модули включаются поэтапно. Вне текущего минимального объёма: диагностика и лечение, клиническая сертификация, электронные медкарты, автоматический сбор данных пациентов, онлайн-дообучение на пользовательском вводе, работающие аккаунты и постоянная история.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Обозначения и управление требованиями</w:t>
      </w:r>
      <w:bookmarkEnd w:id="5"/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Must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обязательное требование соответствующего этапа;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Should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желательное для прототипа;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Later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отдельный этап после согласования.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Р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реализовано на стороне frontend;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А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клиентский адаптер реализован, настоящая интеграция не подтверждена;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П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предложено;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О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функция отключена, полноценная реализация отложена.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согласованные target, признаки, единицы и данные от Али;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D2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согласованный контракт и доступный Spring Boot от Оралхана;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D3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обученная, версионированная модель и воспроизводимый эксперимент от Али;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D4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согласованные безопасность, приватность и окружение;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D5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решения руководителя и реальные пользовательские свидетельства;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отдельный контракт выбора/доступности модулей.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Ссылка на тест означает существующий способ проверки в репозитории; результат его выполнения следует брать из отдельного протокола. Для П указана будущая проверка.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 изменении требования обновляются связанные критерии, тесты, API-документ и диаграммы. Существующие FR-01…FR-11 и NFR-01…NFR-08 сохранены для совместимости; новые идентификаторы добавлены в конец. Утверждение настоящего документа ещё ожидается.</w:t>
      </w:r>
    </w:p>
    <w:p>
      <w:pPr>
        <w:keepNext w:val="0"/>
        <w:spacing w:before="0" w:after="0" w:line="20" w:lineRule="exact"/>
        <w:sectPr>
          <w:footerReference w:type="default" r:id="rId9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Функциональные требования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769"/>
        <w:gridCol w:w="2107"/>
        <w:gridCol w:w="4193"/>
        <w:gridCol w:w="2246"/>
        <w:gridCol w:w="3254"/>
      </w:tblGrid>
      <w:tr>
        <w:trPr>
          <w:cantSplit/>
          <w:tblHeader/>
        </w:trPr>
        <w:tc>
          <w:tcPr>
            <w:tcW w:type="dxa" w:w="276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 / требование</w:t>
            </w:r>
          </w:p>
        </w:tc>
        <w:tc>
          <w:tcPr>
            <w:tcW w:type="dxa" w:w="210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Приоритет / статус</w:t>
            </w:r>
          </w:p>
        </w:tc>
        <w:tc>
          <w:tcPr>
            <w:tcW w:type="dxa" w:w="419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 приёмки</w:t>
            </w:r>
          </w:p>
        </w:tc>
        <w:tc>
          <w:tcPr>
            <w:tcW w:type="dxa" w:w="224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Зависимости</w:t>
            </w:r>
          </w:p>
        </w:tc>
        <w:tc>
          <w:tcPr>
            <w:tcW w:type="dxa" w:w="325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Метод проверки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FR-01. Показывать назначение, режим и ограничения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Главная и форма показывают режим; demo явно назван фиксированным примером; у результата постоянно видно предупреждение об учебном и недиагностическом назначении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Согласованные тексты; NFR-07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Просмотр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HomePage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PredictionPage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ResultPanel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tests/demo.spec.ts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FR-02. Строить real-форму по валидным метаданным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А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успешного GET ввод и POST недоступны; порядок, подписи, типы и единицы совпадают с описанием; после сбоя GET доступен явный повтор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D1, D2; NFR-02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parseModelInfo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src/api/api.test.ts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tests/api.spec.ts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затем настоящий GET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FR-03. Проверять и преобразовывать ввод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Пустые обязательные поля, неизвестные варианты и неконечные числа отклоняются; точка/запятая допустимы; min/max/integer применяются только из метаданных; ошибки связаны с полями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FR-02; D1 для real-ограничений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src/validation.test.ts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E2E на синтетике; независимые будущие серверные тесты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FR-04. Выполнять один явный запрос и проверять ответ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А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Допустимая отправка создаёт один POST; числа передаются JSON number, варианты — string; повтор во время ожидания не создаёт новый POST; некорректный ответ не показывается как результат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FR-02, FR-03; D2; NFR-02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src/api/api.test.ts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tests/api.spec.ts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затем интеграционные тесты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FR-05. Отменять ожидание и исключать устаревшие ответы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Отмена, редактирование или уход со страницы скрывают прежний результат и блокируют поздний ответ; ввод сохраняется в памяти приложения; новый запрос требует отправки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FR-04;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AbortController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usePrediction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useNavigation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tests/demo.spec.ts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серверная остановка расчёта отдельно не гарантируется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FR-06. Обрабатывать ошибки с возможностью исправления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Р, real проверен фикстурами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известного поля связана с ним; фокус получает первое проблемное поле; сеть/timeout/5xx/ошибка контракта различимы; ввод не теряется; real не переходит в demo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FR-02…FR-05; D2 для серверных ошибок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Unit HTTP/контракта и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tests/api.spec.ts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негативный интеграционный набор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FR-07. Показывать проверенный результат с контекстом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Р, real проверен фикстурами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Показаны число, единица, снимок отправленного ввода и предупреждение; версия выводится только из ответа при её наличии; единица совпадает с метаданными; правка скрывает результат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FR-04…FR-06; D1, D2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ResultPanel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parsePrediction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unit/E2E; визуальная проверка. Графики и интервалы не заявляются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FR-08. Экспортировать существующий результат в PDF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Should / Р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 содержит язык, снимок ввода, единицы, результат и предупреждение; нет повторного POST; ошибка ресурсов допускает повтор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FR-07; локальные ресурсы PDF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src/pdf/report.test.ts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сценарии PDF в E2E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FR-09. Поддерживать RU/KK/EN и навигацию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Should / Р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Клиентские тексты и demo переводятся; язык и ввод сохраняются при переходах в текущей сессии; перезагрузка очищает ввод; серверные тексты не объявляются автоматически переведёнными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i18n; FR-05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src/i18n/i18n.test.ts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tests/demo.spec.ts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просмотр трёх языков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FR-10. Обеспечить интеграцию с настоящим backend и моделью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для интегрированного этапа / П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Настоящие GET/POST проходят согласованный контракт и ошибки; для контрольных синтетических входов ответ соответствует прямому вызову той же версии модели в заранее заданном допуске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D1…D4; FR-02…FR-07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Контрактные и интеграционные тесты; проверка эквивалентности Python/Java или выбранного способа исполнения; протокол версии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FR-11. Ограничить аккаунт и историю до отдельного этапа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Later / О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Сейчас действия и парольный ввод недоступны, успех не имитируется; включение допустимо только после отдельного контракта доступа, хранения и удаления и его проверок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D2, D4, D5; отдельные требования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AuthPage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AccountPage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HistoryPage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tests/demo.spec.ts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затем отдельные auth/security-тесты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FR-12. Выбирать поддерживаемый исследовательский модуль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для многомодульного этапа / П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утверждения D6 пользователь видит M1/M2/M3 с корректными названиями, задачами и единицами; выбор меняет метаданные и изолирует ввод/результат; неподдерживаемый модуль не отправляет запрос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D1, D3, D6; FR-02, FR-05, FR-13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Будущие unit/контрактные/E2E-тесты каждого модуля и смены модуля; сейчас выбора нет</w:t>
            </w:r>
          </w:p>
        </w:tc>
      </w:tr>
      <w:tr>
        <w:trPr>
          <w:cantSplit/>
        </w:trPr>
        <w:tc>
          <w:tcPr>
            <w:tcW w:type="dxa" w:w="276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FR-13. Отражать доступность и ограничения модели</w:t>
            </w:r>
          </w:p>
        </w:tc>
        <w:tc>
          <w:tcPr>
            <w:tcW w:type="dxa" w:w="210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для многомодульного этапа / П</w:t>
            </w:r>
          </w:p>
        </w:tc>
        <w:tc>
          <w:tcPr>
            <w:tcW w:type="dxa" w:w="41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каждого модуля видны состояния «планируется», «недоступен» или подтверждённая готовность; недоступная модель не даёт ложный прогноз; версия/задача/единица согласованы с сервером</w:t>
            </w:r>
          </w:p>
        </w:tc>
        <w:tc>
          <w:tcPr>
            <w:tcW w:type="dxa" w:w="224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D2, D3, D6; FR-01, FR-12</w:t>
            </w:r>
          </w:p>
        </w:tc>
        <w:tc>
          <w:tcPr>
            <w:tcW w:type="dxa" w:w="325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Будущий тест статусов, отсутствующего артефакта и несовместимых метаданных; текущий сбой GET проверяет только один сервис</w:t>
            </w:r>
          </w:p>
        </w:tc>
      </w:tr>
    </w:tbl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Нефункциональные требования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77"/>
        <w:gridCol w:w="2305"/>
        <w:gridCol w:w="4282"/>
        <w:gridCol w:w="2168"/>
        <w:gridCol w:w="3137"/>
      </w:tblGrid>
      <w:tr>
        <w:trPr>
          <w:cantSplit/>
          <w:tblHeader/>
        </w:trPr>
        <w:tc>
          <w:tcPr>
            <w:tcW w:type="dxa" w:w="267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 / требование</w:t>
            </w:r>
          </w:p>
        </w:tc>
        <w:tc>
          <w:tcPr>
            <w:tcW w:type="dxa" w:w="230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Приоритет / статус</w:t>
            </w:r>
          </w:p>
        </w:tc>
        <w:tc>
          <w:tcPr>
            <w:tcW w:type="dxa" w:w="428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 приёмки</w:t>
            </w:r>
          </w:p>
        </w:tc>
        <w:tc>
          <w:tcPr>
            <w:tcW w:type="dxa" w:w="216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Зависимости</w:t>
            </w:r>
          </w:p>
        </w:tc>
        <w:tc>
          <w:tcPr>
            <w:tcW w:type="dxa" w:w="313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Метод проверки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NFR-01. Ограничить распространение показателей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на frontend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хранения введённых показателей в localStorage/sessionStorage, URL, аналитике или логах приложения; demo не отправляет их по сети; real отправляет только настроенному API; PDF создаётся лишь по действию пользователя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FR-04, FR-08; D4 для backend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Обзор кода и сети на синтетике; отдельно проверить серверные логи и политику хранения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NFR-02. Валидировать границы доверия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клиента, П сервера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Клиент отвергает неверные типы, дубли ключей метаданных, запрещённые имена полей, единицу ответа, не совпадающую с метаданными, и неконечное число результата; сервер независимо проверяет вход и согласованный preprocessing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D1, D2; FR-02…FR-04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Негативные unit/контрактные тесты; будущие backend-тесты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NFR-03. Обеспечить доступность основного сценария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частично проверяемое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Сценарий проходится клавиатурой; есть видимый фокус, доступные подписи, связь ошибок, объявление состояния; ручной скринридер и проверка контраста фиксируются отдельным протоколом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FR-03, FR-06, FR-09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E2E клавиатуры и ручная проверка; полное соответствие WCAG не заявлено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NFR-04. Поддерживать адаптивную компоновку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Should / Р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 320 и 390 px основной интерфейс не имеет горизонтального переполнения; на 1440 px остаются читаемыми поля, ошибки и результат для трёх языков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FR-09; существующие стили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E2E размеров, снимки и ручной просмотр; другие браузеры проверяются отдельно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NFR-05. Ограничить ожидание и исключить скрытые повторы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клиента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Timeout по умолчанию 15000 мс на HTTP-запрос и чтение тела; отмена отличима от timeout; нет автоматического повтора POST и fallback в demo; сбой допускает явное действие пользователя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FR-04…FR-06; настройки окружения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src/config/environment.test.ts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src/api/api.test.ts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, негативные E2E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NFR-06. Обеспечить воспроизводимость проверок и экспериментов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структуры проверок, П эксперимента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Записаны версия кода, окружение и команды; для каждого эксперимента сохраняются источник/версия данных, split, seed, preprocessing, baseline, гиперпараметры и метрики; test не используется для подбора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D1, D3; FR-10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Протокол технических проверок и независимый повтор модельного эксперимента; наличие тестов не заменяет протокол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NFR-07. Исключить ложные клинические утверждения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/ Р текстов, постоянно действующее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диагнозов, лечения и неподтверждённых процентов точности; demo помечен; опубликованные результаты имеют источник, выборку, модель и ограничения; M1 не называется диагнозом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FR-01, FR-07, FR-13; D5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Редакторская проверка UI, PDF, документации и презентации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NFR-08. Согласовать безопасность и эксплуатацию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до публикации real / П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Зафиксированы TLS, разрешённые origins/CORS, доступ, обработка ошибок, политика логов/хранения/удаления и окружений; секретов нет в VITE_*; реальные данные не используются до согласования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D2, D4; FR-10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Конфигурационный обзор и интеграционные проверки; backend здесь не проверен</w:t>
            </w:r>
          </w:p>
        </w:tc>
      </w:tr>
      <w:tr>
        <w:trPr>
          <w:cantSplit/>
        </w:trPr>
        <w:tc>
          <w:tcPr>
            <w:tcW w:type="dxa" w:w="267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NFR-09. Оценить время ответа без выдуманных показателей</w:t>
            </w:r>
          </w:p>
        </w:tc>
        <w:tc>
          <w:tcPr>
            <w:tcW w:type="dxa" w:w="230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Must перед заявлением производительности / П</w:t>
            </w:r>
          </w:p>
        </w:tc>
        <w:tc>
          <w:tcPr>
            <w:tcW w:type="dxa" w:w="42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Для утверждённого окружения и модуля выполнено не менее 30 успешных прогретых запросов плюс отдельные холодные вызовы; записаны p50/p95, ошибки и условия; бюджет согласован до приёмочного прогона; заявленные значения опираются на протокол</w:t>
            </w:r>
          </w:p>
        </w:tc>
        <w:tc>
          <w:tcPr>
            <w:tcW w:type="dxa" w:w="216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D2, D3; FR-10; согласованный бюджет</w:t>
            </w:r>
          </w:p>
        </w:tc>
        <w:tc>
          <w:tcPr>
            <w:tcW w:type="dxa" w:w="313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Измерения от отправки POST до проверенного ответа, отдельно inference и сеть; текущий timeout не является доказательством скорости</w:t>
            </w:r>
          </w:p>
        </w:tc>
      </w:tr>
    </w:tbl>
    <w:p>
      <w:pPr>
        <w:keepNext w:val="0"/>
        <w:spacing w:before="0" w:after="0" w:line="20" w:lineRule="exact"/>
        <w:sectPr>
          <w:pgSz w:w="16838" w:h="11906" w:orient="landscape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Контракт и данные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В силе остаётся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существующий предварительный контракт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: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GET /api/v1/model/info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предложение frontend;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POST /api/v1/predictions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предварительный контракт из задания/отчёта. Он требует согласования с Оралханом. Настоящий документ не добавляет endpoints, поле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moduleId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или иной несовместимый payload.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GET содержит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indicatorName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unit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decimalPlaces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fields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необязательную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modelVersion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; POST использует ключи полей GET и возвращает конечное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predictedValue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unit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необязательные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modelVersion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/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disclaimer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Версия GET не подставляется вместо отсутствующей версии конкретного ответа. Числовые диапазоны — только из согласованных метаданных; демонстрационные значения не являются медицинскими нормами.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M3 потребуется отдельно определить контракт временного ряда, порядок и метки времени, пропуски, единицы и горизонт. Текущие типы number/select не объявляются достаточными для произвольной временной последовательности. Расширение контракта производится совместно с тестами и миграционными решениями.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Прослеживаемость требований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Диаграммы: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CTX-01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контекст;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UC-01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варианты использования;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CMP-01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— компоненты. Их исходники и SVG находятся в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каталоге архитектурных диаграмм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133"/>
        <w:gridCol w:w="2613"/>
        <w:gridCol w:w="2335"/>
        <w:gridCol w:w="2557"/>
      </w:tblGrid>
      <w:tr>
        <w:trPr>
          <w:cantSplit/>
          <w:tblHeader/>
        </w:trPr>
        <w:tc>
          <w:tcPr>
            <w:tcW w:type="dxa" w:w="213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Группа требований</w:t>
            </w:r>
          </w:p>
        </w:tc>
        <w:tc>
          <w:tcPr>
            <w:tcW w:type="dxa" w:w="261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Компоненты / границы</w:t>
            </w:r>
          </w:p>
        </w:tc>
        <w:tc>
          <w:tcPr>
            <w:tcW w:type="dxa" w:w="233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Сценарии и диаграммы</w:t>
            </w:r>
          </w:p>
        </w:tc>
        <w:tc>
          <w:tcPr>
            <w:tcW w:type="dxa" w:w="255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Свидетельство / будущая проверка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FR-01, FR-09, NFR-07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HomePage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InformationPage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, i18n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UC-A; CTX-01, UC-01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i18n/E2E, просмотр текста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FR-02, FR-03, NFR-02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Field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validation.ts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api/contract.ts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UC-B, UC-C; UC-01, CMP-01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Unit метаданных/валидации; API E2E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FR-04…FR-07, NFR-05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usePrediction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api/http.ts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ResultPanel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UC-C, UC-D; все три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Unit HTTP, E2E фикстур/отмены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FR-08, NFR-01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PredictionPage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pdf/report.ts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; браузер / PDF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UC-E; CTX-01, UC-01, CMP-01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 unit/E2E, сеть и хранение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FR-10, NFR-06, NFR-08, NFR-09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HTTP → предлагаемый Spring Boot → preprocessing → inference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UC-C; CTX-01, CMP-01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Будущая интеграция, эквивалентность и измерения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FR-11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Отключённые auth/account/history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Примечание UC-01; исключены из обязательных сценариев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 и E2E отключённых действий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FR-12, FR-13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Будущий выбор/статусы модулей; M1/M2/M3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UC-F; все три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Будущие D6, тесты модулей и доступности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NFR-03, NFR-04</w:t>
            </w:r>
          </w:p>
        </w:tc>
        <w:tc>
          <w:tcPr>
            <w:tcW w:type="dxa" w:w="261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Поля, layout, фокус, языки</w:t>
            </w:r>
          </w:p>
        </w:tc>
        <w:tc>
          <w:tcPr>
            <w:tcW w:type="dxa" w:w="233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Все пользовательские UC; UC-01</w:t>
            </w:r>
          </w:p>
        </w:tc>
        <w:tc>
          <w:tcPr>
            <w:tcW w:type="dxa" w:w="255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Клавиатура, адаптивность, будущий скринридер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Обозначения UC-A…UC-F в новой диаграмме не заменяют старые UC-01…UC-04 в сохранённой версии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docs/requirements.md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; соответствие: старый UC-01 → UC-A; UC-02 → UC-B; UC-03 → UC-C/UC-D; UC-04 → UC-E; UC-F — новый планируемый сценарий.</w:t>
      </w:r>
    </w:p>
    <w:p>
      <w:bookmarkStart w:id="10" w:name="section_010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8. Поэтапная приёмка</w:t>
      </w:r>
      <w:bookmarkEnd w:id="10"/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Первая предзащита, 24.10.2026: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научная постановка, проверяемая спецификация, три диаграммы, подтверждённый frontend, план данных/моделей, честный реестр пробелов. Обучение всех трёх моделей не является заявленным завершённым результатом.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Первый вертикальный модуль: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после решения руководителя выбрать наиболее осуществимый модуль, утвердить данные и target, реализовать baseline и MLP, затем обеспечить настоящую интеграцию и сравнение исполнения. Выбор M1 как первого кандидата требует решения команды; не подразумевает отказа от официальной широкой темы.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Второй независимый модуль: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отдельный протокол NHANES, правила единиц и подготовки, тесты и метрики; не переносить качество первой модели на вторую.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Временной модуль: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только после получения подходящих продольных данных, согласования горизонта, разбиения по пациентам/времени и нового контракта. При недоступности данных отразить ограничение, не подменять временной прогноз поперечной регрессией.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Многомодульный интерфейс: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согласовать D6, выполнить FR-12/FR-13 и проверить смену модулей. Аккаунт и история остаются отдельным этапом.</w:t>
      </w:r>
    </w:p>
    <w:p>
      <w:bookmarkStart w:id="11" w:name="section_01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9. Открытые решения и владельцы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373"/>
        <w:gridCol w:w="2933"/>
        <w:gridCol w:w="3332"/>
      </w:tblGrid>
      <w:tr>
        <w:trPr>
          <w:cantSplit/>
          <w:tblHeader/>
        </w:trPr>
        <w:tc>
          <w:tcPr>
            <w:tcW w:type="dxa" w:w="337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Решение / пробел</w:t>
            </w:r>
          </w:p>
        </w:tc>
        <w:tc>
          <w:tcPr>
            <w:tcW w:type="dxa" w:w="293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Ответственный</w:t>
            </w:r>
          </w:p>
        </w:tc>
        <w:tc>
          <w:tcPr>
            <w:tcW w:type="dxa" w:w="333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Условие закрытия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Target, признаки, единицы, данные и первый модуль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Баймен Али Қуанышұлы + команда + руководитель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Письменный протокол постановки и план эксперимента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GET/POST/ошибки, версии, способ inference и D6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Сеилхан Оралхан Сайранұлы + Бөгенбаев Санат Амандықұлы + Али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Согласованный контракт и контрактные тесты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Состояния UI, доступность, локализация, обновление диаграмм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Бөгенбаев Санат Амандықұлы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Проверки интерфейса и согласованные тексты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Безопасность, логи, хранение, права на данные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Али + команда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Документированная политика и проверки окружения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Бюджет времени ответа и правила оценки качества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Команда + руководитель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 экспериментов утверждены критерии и ограничения</w:t>
            </w:r>
          </w:p>
        </w:tc>
      </w:tr>
      <w:tr>
        <w:trPr>
          <w:cantSplit/>
        </w:trPr>
        <w:tc>
          <w:tcPr>
            <w:tcW w:type="dxa" w:w="337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Пользовательские потребности и окончательное согласование</w:t>
            </w:r>
          </w:p>
        </w:tc>
        <w:tc>
          <w:tcPr>
            <w:tcW w:type="dxa" w:w="293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Команда + руководитель</w:t>
            </w:r>
          </w:p>
        </w:tc>
        <w:tc>
          <w:tcPr>
            <w:tcW w:type="dxa" w:w="333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Реальные исследовательские свидетельства и протокол замечаний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ФИО руководителя — Турарова Маржан Кабдыкалиевна — сообщено командой 16.10.2026; её утверждение требований этим документом не подтверждается. Ни сервер, ни обученные модели, ни клинические результаты не объявляются готовыми.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university-requirements-extract.md" TargetMode="External"/><Relationship Id="rId11" Type="http://schemas.openxmlformats.org/officeDocument/2006/relationships/hyperlink" Target="../api-contract.md" TargetMode="External"/><Relationship Id="rId12" Type="http://schemas.openxmlformats.org/officeDocument/2006/relationships/hyperlink" Target="../architecture/diagram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требований к программному обеспечению MedPredict</dc:title>
  <dc:subject>Первая предварительная защита 24.10.2026</dc:subject>
  <dc:creator>MedPredict</dc:creator>
  <cp:keywords/>
  <dc:description>Source: docs/requirements/MedPredict_Requirements_Specification.md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