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Архитектура и обязательные диаграммы MedPredict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Версия 1.0 для первой предзащиты 24 октября 2026 года. Дата подготовки: 16 октября 2026 года. Статус: описание подтверждённого frontend и предлагаемой целевой архитектуры; серверные решения требуют согласования.</w:t>
      </w:r>
    </w:p>
    <w:p>
      <w:pPr/>
      <w:r>
        <w:rPr>
          <w:rFonts w:ascii="Times New Roman" w:hAnsi="Times New Roman" w:eastAsia="Times New Roman" w:cs="Times New Roman"/>
          <w:b/>
          <w:i w:val="0"/>
          <w:color w:val="000000"/>
        </w:rPr>
        <w:t>Официальная тема: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«Разработка интеллектуальной системы прогнозирования медицинских показателей на основе нейронных сетей».</w:t>
      </w:r>
    </w:p>
    <w:p>
      <w:pPr>
        <w:pStyle w:val="Heading1"/>
      </w:pPr>
      <w:r>
        <w:t>Содержание</w:t>
      </w:r>
    </w:p>
    <w:p>
      <w:hyperlink w:anchor="section_001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1. Архитектурная позиция и доказательства</w:t>
        </w:r>
      </w:hyperlink>
    </w:p>
    <w:p>
      <w:hyperlink w:anchor="section_002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2. Диаграмма контекста CTX-01</w:t>
        </w:r>
      </w:hyperlink>
    </w:p>
    <w:p>
      <w:hyperlink w:anchor="section_003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3. Диаграмма вариантов использования UC-01</w:t>
        </w:r>
      </w:hyperlink>
    </w:p>
    <w:p>
      <w:hyperlink w:anchor="section_004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4. Диаграмма компонентов CMP-01</w:t>
        </w:r>
      </w:hyperlink>
    </w:p>
    <w:p>
      <w:hyperlink w:anchor="section_007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5. Три независимых исследовательских модуля</w:t>
        </w:r>
      </w:hyperlink>
    </w:p>
    <w:p>
      <w:hyperlink w:anchor="section_008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6. Текущий контракт и предлагаемая эволюция</w:t>
        </w:r>
      </w:hyperlink>
    </w:p>
    <w:p>
      <w:hyperlink w:anchor="section_009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7. Последовательность real-сценария</w:t>
        </w:r>
      </w:hyperlink>
    </w:p>
    <w:p>
      <w:hyperlink w:anchor="section_010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8. Границы доверия, приватность и отказоустойчивость</w:t>
        </w:r>
      </w:hyperlink>
    </w:p>
    <w:p>
      <w:hyperlink w:anchor="section_011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9. Архитектурные решения и отложенные вопросы</w:t>
        </w:r>
      </w:hyperlink>
    </w:p>
    <w:p>
      <w:hyperlink w:anchor="section_012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10. Прослеживаемость и контроль согласованности</w:t>
        </w:r>
      </w:hyperlink>
    </w:p>
    <w:p>
      <w:hyperlink w:anchor="section_013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11. Редактирование и проверка артефактов</w:t>
        </w:r>
      </w:hyperlink>
    </w:p>
    <w:p>
      <w:bookmarkStart w:id="1" w:name="section_001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1. Архитектурная позиция и доказательства</w:t>
      </w:r>
      <w:bookmarkEnd w:id="1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MedPredict рассматривается как учебный исследовательский веб-прототип с потенциально тремя независимыми задачами оценки/прогнозирования числовых показателей. Репозиторий содержит реализованный React + TypeScript + Vite frontend. В нём есть локальный демонстрационный адаптер и HTTP-адаптер. Demo возвращает фиксированные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134,2 мм рт. ст.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независимо от ввода и не вызывает обученную модель. Наличие HTTP-клиента и тестовых ответов не доказывает готовность настоящей интеграции.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По сообщению команды Java/Spring Boot backend находится в разработке. Его исходников, обученных модельных артефактов и результатов экспериментальной оценки в данном репозитории не представлено. Поэтому серверные компоненты, preprocessing, inference и M1/M2/M3 показаны как предлагаемые. Внутренние пакеты Java, СУБД, очередь и отдельный Python-микросервис не объявляются существующими.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Источники фактов: </w:t>
      </w:r>
      <w:hyperlink r:id="rId10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предоставленные требования университета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AGENTS.md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src/types.ts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src/App.tsx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src/hooks/usePrediction.ts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src/hooks/useNavigation.ts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src/config/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src/api/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src/pages/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src/components/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src/pdf/report.ts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существующий </w:t>
      </w:r>
      <w:hyperlink r:id="rId11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предварительный API-контракт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и тесты. Новая </w:t>
      </w:r>
      <w:hyperlink r:id="rId12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спецификация требований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задаёт FR-01…FR-13 и NFR-01…NFR-09. Сохранённые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docs/architecture.md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и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docs/diagrams/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не заменены.</w:t>
      </w:r>
    </w:p>
    <w:p>
      <w:pPr>
        <w:keepNext w:val="0"/>
        <w:spacing w:before="0" w:after="0" w:line="20" w:lineRule="exact"/>
        <w:sectPr>
          <w:footerReference w:type="default" r:id="rId9"/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  <w:r>
        <w:rPr>
          <w:rFonts w:ascii="Times New Roman" w:hAnsi="Times New Roman" w:eastAsia="Times New Roman" w:cs="Times New Roman"/>
          <w:color w:val="000000"/>
          <w:sz w:val="2"/>
        </w:rPr>
      </w:r>
    </w:p>
    <w:p>
      <w:bookmarkStart w:id="2" w:name="section_002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2. Диаграмма контекста CTX-01</w:t>
      </w:r>
      <w:bookmarkEnd w:id="2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033317" cy="5219999"/>
            <wp:docPr id="1" name="Picture 1" descr="CTX-01. Контекст системы MedPredict" title="CTX-01. Контекст системы MedPredi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33317" cy="52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b w:val="0"/>
          <w:i/>
          <w:color w:val="000000"/>
        </w:rPr>
        <w:t>Рисунок 1 — Контекст существующего frontend и предлагаемой серверной части MedPredict, состояние на 16.10.2026.</w:t>
      </w:r>
    </w:p>
    <w:p>
      <w:pPr/>
      <w:hyperlink r:id="rId14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Редактируемый источник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· </w:t>
      </w:r>
      <w:hyperlink r:id="rId15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SVG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· </w:t>
      </w:r>
      <w:hyperlink r:id="rId16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PNG для Word/презентации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Пользователь взаимодействует с браузерным прототипом: вводит синтетические примеры, видит состояние, результат или ошибку, при необходимости экспортирует PDF. В demo вычисления модели и передача показателей серверу отсутствуют. В real клиент должен обращаться только к явно настроенному API, однако настоящая интеграция ещё не подтверждена.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Граница системы включает существующий frontend и предлагаемую серверную часть. Данные-кандидаты и процесс обучения находятся вне пользовательского пути. Источники и права использования данных, правила отбора и модельные артефакты подлежат утверждению. Пользовательский ввод из demo не является обучающим набором. Локальный PDF — отдельный экспортируемый документ, который может содержать введённые показатели и остаётся на устройстве пользователя по его действию.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Требования: FR-01, FR-04, FR-07, FR-08, FR-10, FR-12, FR-13; NFR-01, NFR-07, NFR-08.</w:t>
      </w:r>
    </w:p>
    <w:p>
      <w:bookmarkStart w:id="3" w:name="section_003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3. Диаграмма вариантов использования UC-01</w:t>
      </w:r>
      <w:bookmarkEnd w:id="3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202141" cy="5219999"/>
            <wp:docPr id="2" name="Picture 2" descr="UC-01. Варианты использования MedPredict" title="UC-01. Варианты использования MedPredi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2141" cy="52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b w:val="0"/>
          <w:i/>
          <w:color w:val="000000"/>
        </w:rPr>
        <w:t>Рисунок 2 — Основные пользовательские сценарии и отдельно обозначенный будущий выбор модуля.</w:t>
      </w:r>
    </w:p>
    <w:p>
      <w:pPr/>
      <w:hyperlink r:id="rId18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Редактируемый источник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· </w:t>
      </w:r>
      <w:hyperlink r:id="rId19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SVG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· </w:t>
      </w:r>
      <w:hyperlink r:id="rId20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PNG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В этой диаграмме граница обозначает пользовательский сценарий frontend; внешний сервис прогноза — поддерживающий актор real-режима. Реализованные интерфейсные сценарии и предлагаемые серверные возможности не смешиваются. Штриховая зависимость «include» следует нотации UML и обозначает обязательную проверку ввода при запросе, а не незавершённость самой клиентской валидации. Пунктирные рамки и остальные пунктирные связи обозначают планируемые/согласуемые элементы.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3169"/>
        <w:gridCol w:w="4457"/>
        <w:gridCol w:w="4241"/>
        <w:gridCol w:w="2703"/>
      </w:tblGrid>
      <w:tr>
        <w:trPr>
          <w:cantSplit/>
          <w:tblHeader/>
        </w:trPr>
        <w:tc>
          <w:tcPr>
            <w:tcW w:type="dxa" w:w="316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Сценарий</w:t>
            </w:r>
          </w:p>
        </w:tc>
        <w:tc>
          <w:tcPr>
            <w:tcW w:type="dxa" w:w="445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Предусловие и основной поток</w:t>
            </w:r>
          </w:p>
        </w:tc>
        <w:tc>
          <w:tcPr>
            <w:tcW w:type="dxa" w:w="4241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Альтернативы / состояние</w:t>
            </w:r>
          </w:p>
        </w:tc>
        <w:tc>
          <w:tcPr>
            <w:tcW w:type="dxa" w:w="2703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Требования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UC-A. Изучить назначение и ограничения</w:t>
            </w:r>
          </w:p>
        </w:tc>
        <w:tc>
          <w:tcPr>
            <w:tcW w:type="dxa" w:w="44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Открыта главная или информационная страница; пользователь видит режим и ограничения, выбирает язык</w:t>
            </w:r>
          </w:p>
        </w:tc>
        <w:tc>
          <w:tcPr>
            <w:tcW w:type="dxa" w:w="424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Клиентские тексты реализованы; пользовательская валидация полезности не подтверждена</w:t>
            </w:r>
          </w:p>
        </w:tc>
        <w:tc>
          <w:tcPr>
            <w:tcW w:type="dxa" w:w="270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FR-01, FR-09; NFR-07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UC-B. Ввести и проверить показатели</w:t>
            </w:r>
          </w:p>
        </w:tc>
        <w:tc>
          <w:tcPr>
            <w:tcW w:type="dxa" w:w="44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 demo доступны локальные метаданные, в real нужен валидный GET; пользователь заполняет поля; проверка выполняется перед отправкой</w:t>
            </w:r>
          </w:p>
        </w:tc>
        <w:tc>
          <w:tcPr>
            <w:tcW w:type="dxa" w:w="424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Ошибка остаётся связанной с полем; медицинские диапазоны самостоятельно не вводятся</w:t>
            </w:r>
          </w:p>
        </w:tc>
        <w:tc>
          <w:tcPr>
            <w:tcW w:type="dxa" w:w="270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FR-02, FR-03; NFR-02, NFR-03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UC-C. Запросить и изучить результат</w:t>
            </w:r>
          </w:p>
        </w:tc>
        <w:tc>
          <w:tcPr>
            <w:tcW w:type="dxa" w:w="44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Валидный ввод; явная отправка; ожидание; проверка структуры и единицы; число и контекст на экране</w:t>
            </w:r>
          </w:p>
        </w:tc>
        <w:tc>
          <w:tcPr>
            <w:tcW w:type="dxa" w:w="424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Demo — фиксированный пример; настоящий backend/модель — план; некорректный ответ отвергается</w:t>
            </w:r>
          </w:p>
        </w:tc>
        <w:tc>
          <w:tcPr>
            <w:tcW w:type="dxa" w:w="270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FR-04, FR-07, FR-10; NFR-05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UC-D. Отменить или исправить</w:t>
            </w:r>
          </w:p>
        </w:tc>
        <w:tc>
          <w:tcPr>
            <w:tcW w:type="dxa" w:w="44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Есть ожидающий запрос либо ошибка; пользователь отменяет или редактирует</w:t>
            </w:r>
          </w:p>
        </w:tc>
        <w:tc>
          <w:tcPr>
            <w:tcW w:type="dxa" w:w="424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Поздний ответ игнорируется; ввод остаётся в памяти; скрытого повтора и fallback нет</w:t>
            </w:r>
          </w:p>
        </w:tc>
        <w:tc>
          <w:tcPr>
            <w:tcW w:type="dxa" w:w="270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FR-05, FR-06; NFR-05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UC-E. Экспортировать PDF</w:t>
            </w:r>
          </w:p>
        </w:tc>
        <w:tc>
          <w:tcPr>
            <w:tcW w:type="dxa" w:w="44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Уже есть проверенный успешный результат; пользователь инициирует экспорт</w:t>
            </w:r>
          </w:p>
        </w:tc>
        <w:tc>
          <w:tcPr>
            <w:tcW w:type="dxa" w:w="424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нового POST; ошибка ресурсов допускает повтор</w:t>
            </w:r>
          </w:p>
        </w:tc>
        <w:tc>
          <w:tcPr>
            <w:tcW w:type="dxa" w:w="270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FR-08; NFR-01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UC-F. Выбрать модуль и проверить доступность</w:t>
            </w:r>
          </w:p>
        </w:tc>
        <w:tc>
          <w:tcPr>
            <w:tcW w:type="dxa" w:w="44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Будущий согласованный каталог/статусы модулей</w:t>
            </w:r>
          </w:p>
        </w:tc>
        <w:tc>
          <w:tcPr>
            <w:tcW w:type="dxa" w:w="424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M1/M2/M3 не реализованы; API и изменение UI пока не выполнены</w:t>
            </w:r>
          </w:p>
        </w:tc>
        <w:tc>
          <w:tcPr>
            <w:tcW w:type="dxa" w:w="270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FR-12, FR-13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Auth, аккаунт, история и удаление представлены только страницами с отключёнными действиями. Они не включены в работающие сценарии. Поля паролей также отключены; успешный вход, сохранение и удаление не имитируются (FR-11).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Старые UC-01…UC-04 сохранённой спецификации соответствуют UC-A, UC-B, UC-C/UC-D и UC-E. Новые буквенные метки позволяют отличать сценарии от идентификатора самой диаграммы UC-01.</w:t>
      </w:r>
    </w:p>
    <w:p>
      <w:bookmarkStart w:id="4" w:name="section_004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4. Диаграмма компонентов CMP-01</w:t>
      </w:r>
      <w:bookmarkEnd w:id="4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240319" cy="5220000"/>
            <wp:docPr id="3" name="Picture 3" descr="CMP-01. Компоненты и предлагаемый путь обработки" title="CMP-01. Компоненты и предлагаемый путь обработ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40319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b w:val="0"/>
          <w:i/>
          <w:color w:val="000000"/>
        </w:rPr>
        <w:t>Рисунок 3 — Реализованные клиентские компоненты и предлагаемый pipeline Spring Boot, preprocessing, inference, API response и интерфейс результата.</w:t>
      </w:r>
    </w:p>
    <w:p>
      <w:pPr/>
      <w:hyperlink r:id="rId22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Редактируемый источник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· </w:t>
      </w:r>
      <w:hyperlink r:id="rId23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SVG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· </w:t>
      </w:r>
      <w:hyperlink r:id="rId24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PNG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Стрелки отражают основные вызовы и передачу данных, а не полный граф импортов TypeScript и не порядок сетевых пакетов. Формирование результата происходит через состояние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usePrediction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; проверка ответа применяется и в demo.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PredictionPage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передаёт сохранённый результат в PDF-генератор; сам hook генератор не импортирует.</w:t>
      </w:r>
    </w:p>
    <w:p>
      <w:bookmarkStart w:id="5" w:name="section_005"/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4.1. Реализованные компоненты</w:t>
      </w:r>
      <w:bookmarkEnd w:id="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909"/>
        <w:gridCol w:w="4186"/>
        <w:gridCol w:w="4561"/>
        <w:gridCol w:w="2914"/>
      </w:tblGrid>
      <w:tr>
        <w:trPr>
          <w:cantSplit/>
          <w:tblHeader/>
        </w:trPr>
        <w:tc>
          <w:tcPr>
            <w:tcW w:type="dxa" w:w="290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Компонент</w:t>
            </w:r>
          </w:p>
        </w:tc>
        <w:tc>
          <w:tcPr>
            <w:tcW w:type="dxa" w:w="4186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Ответственность</w:t>
            </w:r>
          </w:p>
        </w:tc>
        <w:tc>
          <w:tcPr>
            <w:tcW w:type="dxa" w:w="4561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Данные / ограничения</w:t>
            </w:r>
          </w:p>
        </w:tc>
        <w:tc>
          <w:tcPr>
            <w:tcW w:type="dxa" w:w="2914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Требования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App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pages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components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i18n</w:t>
            </w:r>
          </w:p>
        </w:tc>
        <w:tc>
          <w:tcPr>
            <w:tcW w:type="dxa" w:w="418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Страницы, поля, сообщения, язык, результат и навигация</w:t>
            </w:r>
          </w:p>
        </w:tc>
        <w:tc>
          <w:tcPr>
            <w:tcW w:type="dxa" w:w="456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Язык и ввод живут в памяти приложения; hash содержит маршрут, не показатели</w:t>
            </w:r>
          </w:p>
        </w:tc>
        <w:tc>
          <w:tcPr>
            <w:tcW w:type="dxa" w:w="291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FR-01, FR-03, FR-07, FR-09; NFR-03/04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useNavigation</w:t>
            </w:r>
          </w:p>
        </w:tc>
        <w:tc>
          <w:tcPr>
            <w:tcW w:type="dxa" w:w="418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Hash-навигация и вызов сброса активного сценария</w:t>
            </w:r>
          </w:p>
        </w:tc>
        <w:tc>
          <w:tcPr>
            <w:tcW w:type="dxa" w:w="456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Переход сохраняет ввод, отменяет ожидание и скрывает результат</w:t>
            </w:r>
          </w:p>
        </w:tc>
        <w:tc>
          <w:tcPr>
            <w:tcW w:type="dxa" w:w="2914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FR-05, FR-09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usePrediction</w:t>
            </w:r>
          </w:p>
        </w:tc>
        <w:tc>
          <w:tcPr>
            <w:tcW w:type="dxa" w:w="418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Загрузка метаданных, состояния idle/loading/success/error, отправка, отмена и снимок ввода</w:t>
            </w:r>
          </w:p>
        </w:tc>
        <w:tc>
          <w:tcPr>
            <w:tcW w:type="dxa" w:w="456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Один активный POST;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AbortController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 и проверка идентичности запроса защищают от поздних ответов</w:t>
            </w:r>
          </w:p>
        </w:tc>
        <w:tc>
          <w:tcPr>
            <w:tcW w:type="dxa" w:w="291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FR-02, FR-04…FR-07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validation.ts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Field</w:t>
            </w:r>
          </w:p>
        </w:tc>
        <w:tc>
          <w:tcPr>
            <w:tcW w:type="dxa" w:w="418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Разбор чисел, required, select, min/max/integer и доступные ошибки</w:t>
            </w:r>
          </w:p>
        </w:tc>
        <w:tc>
          <w:tcPr>
            <w:tcW w:type="dxa" w:w="456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Диапазоны берутся из конфигурации; без них не придумываются медицинские ограничения</w:t>
            </w:r>
          </w:p>
        </w:tc>
        <w:tc>
          <w:tcPr>
            <w:tcW w:type="dxa" w:w="291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FR-03; NFR-02/03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config/environment.ts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PredictionApi</w:t>
            </w:r>
          </w:p>
        </w:tc>
        <w:tc>
          <w:tcPr>
            <w:tcW w:type="dxa" w:w="418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Явный выбор demo/real; общий интерфейс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getModelInfo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predict</w:t>
            </w:r>
          </w:p>
        </w:tc>
        <w:tc>
          <w:tcPr>
            <w:tcW w:type="dxa" w:w="456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Ошибка режима/настроек не переводит в demo</w:t>
            </w:r>
          </w:p>
        </w:tc>
        <w:tc>
          <w:tcPr>
            <w:tcW w:type="dxa" w:w="291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FR-04, FR-06; NFR-05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api/demo.ts</w:t>
            </w:r>
          </w:p>
        </w:tc>
        <w:tc>
          <w:tcPr>
            <w:tcW w:type="dxa" w:w="418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Локальный фиксированный пример, демонстрационные ошибки/отмена</w:t>
            </w:r>
          </w:p>
        </w:tc>
        <w:tc>
          <w:tcPr>
            <w:tcW w:type="dxa" w:w="456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134,2 мм рт. ст.;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demo-example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; ввод не влияет на результат; не модель</w:t>
            </w:r>
          </w:p>
        </w:tc>
        <w:tc>
          <w:tcPr>
            <w:tcW w:type="dxa" w:w="291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FR-01, FR-05; NFR-07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api/http.ts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api/contract.ts</w:t>
            </w:r>
          </w:p>
        </w:tc>
        <w:tc>
          <w:tcPr>
            <w:tcW w:type="dxa" w:w="418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GET/POST, timeout, проверка внешних структур и ошибок</w:t>
            </w:r>
          </w:p>
        </w:tc>
        <w:tc>
          <w:tcPr>
            <w:tcW w:type="dxa" w:w="456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Недоверенный JSON;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credentials: omit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cache: no-store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referrerPolicy: no-referrer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; единицы проверяются до показа</w:t>
            </w:r>
          </w:p>
        </w:tc>
        <w:tc>
          <w:tcPr>
            <w:tcW w:type="dxa" w:w="291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FR-02, FR-04, FR-06/07; NFR-01/02/05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ResultPanel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pdf/report.ts</w:t>
            </w:r>
          </w:p>
        </w:tc>
        <w:tc>
          <w:tcPr>
            <w:tcW w:type="dxa" w:w="418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Числовое представление с единицей/контекстом и локальный текстовый PDF</w:t>
            </w:r>
          </w:p>
        </w:tc>
        <w:tc>
          <w:tcPr>
            <w:tcW w:type="dxa" w:w="456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Только проверенный результат; графики, доверительные интервалы и диагнозы не заявляются</w:t>
            </w:r>
          </w:p>
        </w:tc>
        <w:tc>
          <w:tcPr>
            <w:tcW w:type="dxa" w:w="291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FR-07/08; NFR-07</w:t>
            </w:r>
          </w:p>
        </w:tc>
      </w:tr>
    </w:tbl>
    <w:p>
      <w:bookmarkStart w:id="6" w:name="section_006"/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4.2. Предлагаемые серверные компоненты</w:t>
      </w:r>
      <w:bookmarkEnd w:id="6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Целевой путь обработки:</w:t>
      </w:r>
    </w:p>
    <w:p>
      <w:pPr/>
      <w:r>
        <w:rPr>
          <w:rFonts w:ascii="Times New Roman" w:hAnsi="Times New Roman" w:eastAsia="Times New Roman" w:cs="Times New Roman"/>
          <w:b/>
          <w:i w:val="0"/>
          <w:color w:val="000000"/>
        </w:rPr>
        <w:t>React Frontend → Spring Boot REST API → независимая Input Validation and Preprocessing → Model Inference → API Response → проверка ответа клиентом → Results Interface.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3290"/>
        <w:gridCol w:w="5560"/>
        <w:gridCol w:w="5720"/>
      </w:tblGrid>
      <w:tr>
        <w:trPr>
          <w:cantSplit/>
          <w:tblHeader/>
        </w:trPr>
        <w:tc>
          <w:tcPr>
            <w:tcW w:type="dxa" w:w="329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Предлагаемый компонент</w:t>
            </w:r>
          </w:p>
        </w:tc>
        <w:tc>
          <w:tcPr>
            <w:tcW w:type="dxa" w:w="556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Необходимая ответственность</w:t>
            </w:r>
          </w:p>
        </w:tc>
        <w:tc>
          <w:tcPr>
            <w:tcW w:type="dxa" w:w="572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Что остаётся решить</w:t>
            </w:r>
          </w:p>
        </w:tc>
      </w:tr>
      <w:tr>
        <w:trPr>
          <w:cantSplit/>
        </w:trPr>
        <w:tc>
          <w:tcPr>
            <w:tcW w:type="dxa" w:w="329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Spring Boot REST</w:t>
            </w:r>
          </w:p>
        </w:tc>
        <w:tc>
          <w:tcPr>
            <w:tcW w:type="dxa" w:w="55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Приём запроса, проверка формата, метаданные, ошибки, совместимость версии</w:t>
            </w:r>
          </w:p>
        </w:tc>
        <w:tc>
          <w:tcPr>
            <w:tcW w:type="dxa" w:w="572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Окончательные GET/POST/400, CORS, TLS, окружения, доступ, эксплуатация</w:t>
            </w:r>
          </w:p>
        </w:tc>
      </w:tr>
      <w:tr>
        <w:trPr>
          <w:cantSplit/>
        </w:trPr>
        <w:tc>
          <w:tcPr>
            <w:tcW w:type="dxa" w:w="329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Валидация и preprocessing</w:t>
            </w:r>
          </w:p>
        </w:tc>
        <w:tc>
          <w:tcPr>
            <w:tcW w:type="dxa" w:w="55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Независимая проверка на сервере; тот же порядок признаков, пропусков, единиц и преобразований, что при обучении</w:t>
            </w:r>
          </w:p>
        </w:tc>
        <w:tc>
          <w:tcPr>
            <w:tcW w:type="dxa" w:w="572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Код/артефакты преобразования, их версия и тесты; параметры обучаются только на train</w:t>
            </w:r>
          </w:p>
        </w:tc>
      </w:tr>
      <w:tr>
        <w:trPr>
          <w:cantSplit/>
        </w:trPr>
        <w:tc>
          <w:tcPr>
            <w:tcW w:type="dxa" w:w="329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Inference</w:t>
            </w:r>
          </w:p>
        </w:tc>
        <w:tc>
          <w:tcPr>
            <w:tcW w:type="dxa" w:w="55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Вызов утверждённой модели и привязка ответа к фактически использованной версии</w:t>
            </w:r>
          </w:p>
        </w:tc>
        <w:tc>
          <w:tcPr>
            <w:tcW w:type="dxa" w:w="572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ONNX в Java либо отдельный Python inference или иной согласованный способ; ни один вариант пока не утверждён</w:t>
            </w:r>
          </w:p>
        </w:tc>
      </w:tr>
      <w:tr>
        <w:trPr>
          <w:cantSplit/>
        </w:trPr>
        <w:tc>
          <w:tcPr>
            <w:tcW w:type="dxa" w:w="329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API response</w:t>
            </w:r>
          </w:p>
        </w:tc>
        <w:tc>
          <w:tcPr>
            <w:tcW w:type="dxa" w:w="55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Число, корректная единица, версия при наличии, безопасное сообщение об ошибке</w:t>
            </w:r>
          </w:p>
        </w:tc>
        <w:tc>
          <w:tcPr>
            <w:tcW w:type="dxa" w:w="572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Эталонные ответы и допуски сравнения; не добавлять клиническую интерпретацию без основания</w:t>
            </w:r>
          </w:p>
        </w:tc>
      </w:tr>
      <w:tr>
        <w:trPr>
          <w:cantSplit/>
        </w:trPr>
        <w:tc>
          <w:tcPr>
            <w:tcW w:type="dxa" w:w="329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M1 / M2 / M3</w:t>
            </w:r>
          </w:p>
        </w:tc>
        <w:tc>
          <w:tcPr>
            <w:tcW w:type="dxa" w:w="55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Независимые артефакты, схемы признаков и ограничения каждой задачи</w:t>
            </w:r>
          </w:p>
        </w:tc>
        <w:tc>
          <w:tcPr>
            <w:tcW w:type="dxa" w:w="572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Все три не реализованы; обучение, оценка, выбор данных и многомодульный контракт ещё впереди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СУБД и постоянное хранение не требуются текущему минимальному сценарию запроса и ответа. Если аккаунты/история будут согласованы, понадобится отдельная архитектура доступа, хранения и удаления. Их нельзя считать уже решёнными по наличию экранов.</w:t>
      </w:r>
    </w:p>
    <w:p>
      <w:pPr>
        <w:keepNext w:val="0"/>
        <w:spacing w:before="0" w:after="0" w:line="20" w:lineRule="exact"/>
        <w:sectPr>
          <w:pgSz w:w="16838" w:h="11906" w:orient="landscape"/>
          <w:pgMar w:top="1020" w:right="1134" w:bottom="1020" w:left="1134" w:header="454" w:footer="454" w:gutter="0"/>
          <w:cols w:space="720"/>
          <w:docGrid w:linePitch="360"/>
        </w:sectPr>
      </w:pPr>
      <w:r>
        <w:rPr>
          <w:rFonts w:ascii="Times New Roman" w:hAnsi="Times New Roman" w:eastAsia="Times New Roman" w:cs="Times New Roman"/>
          <w:color w:val="000000"/>
          <w:sz w:val="2"/>
        </w:rPr>
      </w:r>
    </w:p>
    <w:p>
      <w:bookmarkStart w:id="7" w:name="section_007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5. Три независимых исследовательских модуля</w:t>
      </w:r>
      <w:bookmarkEnd w:id="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959"/>
        <w:gridCol w:w="2739"/>
        <w:gridCol w:w="2863"/>
        <w:gridCol w:w="2077"/>
      </w:tblGrid>
      <w:tr>
        <w:trPr>
          <w:cantSplit/>
          <w:tblHeader/>
        </w:trPr>
        <w:tc>
          <w:tcPr>
            <w:tcW w:type="dxa" w:w="195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Модуль</w:t>
            </w:r>
          </w:p>
        </w:tc>
        <w:tc>
          <w:tcPr>
            <w:tcW w:type="dxa" w:w="273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Научная задача и кандидаты</w:t>
            </w:r>
          </w:p>
        </w:tc>
        <w:tc>
          <w:tcPr>
            <w:tcW w:type="dxa" w:w="2863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Архитектурное следствие</w:t>
            </w:r>
          </w:p>
        </w:tc>
        <w:tc>
          <w:tcPr>
            <w:tcW w:type="dxa" w:w="207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195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M1 — Diabetes Progression</w:t>
            </w:r>
          </w:p>
        </w:tc>
        <w:tc>
          <w:tcPr>
            <w:tcW w:type="dxa" w:w="27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Числовой target scikit-learn Diabetes; regression baseline против MLP</w:t>
            </w:r>
          </w:p>
        </w:tc>
        <w:tc>
          <w:tcPr>
            <w:tcW w:type="dxa" w:w="286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Отдельная схема признаков, target и интерпретация; не физическая единица давления и не медицинский диагноз</w:t>
            </w:r>
          </w:p>
        </w:tc>
        <w:tc>
          <w:tcPr>
            <w:tcW w:type="dxa" w:w="20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реализован</w:t>
            </w:r>
          </w:p>
        </w:tc>
      </w:tr>
      <w:tr>
        <w:trPr>
          <w:cantSplit/>
        </w:trPr>
        <w:tc>
          <w:tcPr>
            <w:tcW w:type="dxa" w:w="195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M2 — Systolic Blood Pressure Estimation</w:t>
            </w:r>
          </w:p>
        </w:tc>
        <w:tc>
          <w:tcPr>
            <w:tcW w:type="dxa" w:w="27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Оценка систолического давления по выбранным данным NHANES; baseline против MLP; mmHg</w:t>
            </w:r>
          </w:p>
        </w:tc>
        <w:tc>
          <w:tcPr>
            <w:tcW w:type="dxa" w:w="286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Отдельный pipeline отбора, единиц и измерений; поперечная оценка не равна прогнозу будущего давления</w:t>
            </w:r>
          </w:p>
        </w:tc>
        <w:tc>
          <w:tcPr>
            <w:tcW w:type="dxa" w:w="20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реализован; demo давления не является M2</w:t>
            </w:r>
          </w:p>
        </w:tc>
      </w:tr>
      <w:tr>
        <w:trPr>
          <w:cantSplit/>
        </w:trPr>
        <w:tc>
          <w:tcPr>
            <w:tcW w:type="dxa" w:w="195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M3 — Glucose Forecasting</w:t>
            </w:r>
          </w:p>
        </w:tc>
        <w:tc>
          <w:tcPr>
            <w:tcW w:type="dxa" w:w="27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Краткосрочный прогноз при наличии подходящего продольного набора PhysioNet; временной baseline и подходящая нейросеть, потенциально LSTM</w:t>
            </w:r>
          </w:p>
        </w:tc>
        <w:tc>
          <w:tcPr>
            <w:tcW w:type="dxa" w:w="286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Нужны временные метки, окно, горизонт, пациентское/временное разбиение, правила пропусков и согласованный контракт последовательности</w:t>
            </w:r>
          </w:p>
        </w:tc>
        <w:tc>
          <w:tcPr>
            <w:tcW w:type="dxa" w:w="20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реализован; набор, горизонт и единицы не утверждены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Общими могут быть HTTP-сервис и политика ошибок, но не автоматически признаки, единицы, preprocessing, метрики или веса. Конкретный вызов inference использует один выбранный совместимый модуль, а не запускает все три одновременно. Производительность и качество между модулями не переносятся.</w:t>
      </w:r>
    </w:p>
    <w:p>
      <w:bookmarkStart w:id="8" w:name="section_008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6. Текущий контракт и предлагаемая эволюция</w:t>
      </w:r>
      <w:bookmarkEnd w:id="8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На стороне frontend существуют два метода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PredictionApi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: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getModelInfo(signal)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и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predict(input, signal)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HTTP-адаптер использует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GET /api/v1/model/info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и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POST /api/v1/predictions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. GET прямо отмечен в существующей документации как предложение frontend, ещё не утверждённое Оралханом. POST — предварительный формат из задания/отчёта. Новый пакет документов не меняет ни путь, ни тело запроса.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Метаданные задают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indicatorName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unit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decimalPlaces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непустой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fields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необязательную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modelVersion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Числовые поля передаются числами JSON, списковые — строками. Ответ содержит конечный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predictedValue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непустую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unit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необязательные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modelVersion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/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disclaimer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. Единица ответа должна совпадать с метаданными. Клиент не подставляет версию метаданных вместо отсутствующей версии конкретного результата.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Для трёх модулей отдельно нужно согласовать каталог, идентификаторы, доступность, версионирование и выбор схемы. В этот документ не вводится работающий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/modules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moduleId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или иное расширение как факт. Текущая форма number/select не считается готовым контрактом временного ряда для M3. Любое расширение сопровождается обновлением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docs/api-contract.md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, типов, тестов, требований и диаграмм после согласования команды.</w:t>
      </w:r>
    </w:p>
    <w:p>
      <w:bookmarkStart w:id="9" w:name="section_009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7. Последовательность real-сценария</w:t>
      </w:r>
      <w:bookmarkEnd w:id="9"/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Проверить конфигурацию окружения и явно выбрать real. Запросить GET метаданных, разобрать недоверенный JSON; при ошибке форма и POST недоступны, разрешён явный повтор GET.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Отобразить поля по метаданным. Перед отправкой разобрать и проверить ввод; при ошибке связать сообщения с полями и поставить фокус на первое ошибочное поле.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После явного действия отправить один POST; зафиксировать проверенный снимок входа. Повторное нажатие во время запроса не создаёт второй POST.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Предлагаемый сервер независимо валидирует вход, применяет согласованный preprocessing и вызывает конкретный версионированный артефакт. Этот участок пока не подтверждён настоящей интеграцией.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Получить ответ; проверить структуру, конечность числа и единицу. Показать результат, снимок ввода и постоянное предупреждение. Некорректный ответ обрабатывается как ошибка.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При отмене, изменении данных или переходе отменить ожидание и игнорировать поздний ответ. Отмена HTTP на клиенте сама по себе не доказывает прекращение серверных вычислений.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7.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По отдельному действию экспортировать существующий результат в PDF без нового POST. После правки формы или перехода прежний результат скрывается.</w:t>
      </w:r>
    </w:p>
    <w:p>
      <w:bookmarkStart w:id="10" w:name="section_010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8. Границы доверия, приватность и отказоустойчивость</w:t>
      </w:r>
      <w:bookmarkEnd w:id="10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Показатели находятся в памяти React в пределах текущей загрузки приложения. Frontend не сохраняет их в localStorage/sessionStorage, URL, аналитике или логах приложения. После перезагрузки ввод теряется; при переходе между страницами внутри приложения сохраняется. Это ограничение frontend, а не обещание отсутствия памяти/кэшей на уровне браузера, ОС или стороннего сервера. Экспортированный PDF — явное исключение из отсутствия постоянного пользовательского документа.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Demo не передаёт показатели по сети. Real передаёт их настроенному API, поэтому серверные логи, хранение, доступ и обработка ошибок нуждаются в отдельной проверке. Настройки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VITE_*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видны в клиентской сборке и не подходят для секретов. Для real-публикации должны быть согласованы TLS, разрешённые origins/CORS и политика обработки данных. Пользовательские данные не используются для обучения автоматически.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Надёжность клиентского пути обеспечивают явные состояния, timeout по умолчанию 15000 мс, отсутствие автоматического повторного POST и fallback в demo,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AbortController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и проверка текущего запроса. Ошибка известного поля связывается с ним, неизвестное поле сообщает о несовместимом ответе. Это проверяемые свойства клиента; доступность сервера и время inference по ним не выводятся.</w:t>
      </w:r>
    </w:p>
    <w:p>
      <w:bookmarkStart w:id="11" w:name="section_011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9. Архитектурные решения и отложенные вопросы</w:t>
      </w:r>
      <w:bookmarkEnd w:id="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984"/>
        <w:gridCol w:w="2599"/>
        <w:gridCol w:w="2423"/>
        <w:gridCol w:w="2631"/>
      </w:tblGrid>
      <w:tr>
        <w:trPr>
          <w:cantSplit/>
          <w:tblHeader/>
        </w:trPr>
        <w:tc>
          <w:tcPr>
            <w:tcW w:type="dxa" w:w="1984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259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Решение / состояние</w:t>
            </w:r>
          </w:p>
        </w:tc>
        <w:tc>
          <w:tcPr>
            <w:tcW w:type="dxa" w:w="2423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Основание</w:t>
            </w:r>
          </w:p>
        </w:tc>
        <w:tc>
          <w:tcPr>
            <w:tcW w:type="dxa" w:w="2631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Дальнейшее действие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AR-01</w:t>
            </w:r>
          </w:p>
        </w:tc>
        <w:tc>
          <w:tcPr>
            <w:tcW w:type="dxa" w:w="25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Сохранить React + TypeScript + Vite</w:t>
            </w:r>
          </w:p>
        </w:tc>
        <w:tc>
          <w:tcPr>
            <w:tcW w:type="dxa" w:w="242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Уже реализованный frontend, typed-границы и сценарии</w:t>
            </w:r>
          </w:p>
        </w:tc>
        <w:tc>
          <w:tcPr>
            <w:tcW w:type="dxa" w:w="263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 рамках документации приложение не изменять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AR-02</w:t>
            </w:r>
          </w:p>
        </w:tc>
        <w:tc>
          <w:tcPr>
            <w:tcW w:type="dxa" w:w="25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Java/Spring Boot — выбранное командой направление backend, реализация здесь не проверена</w:t>
            </w:r>
          </w:p>
        </w:tc>
        <w:tc>
          <w:tcPr>
            <w:tcW w:type="dxa" w:w="242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Роль Оралхана и постановка проекта</w:t>
            </w:r>
          </w:p>
        </w:tc>
        <w:tc>
          <w:tcPr>
            <w:tcW w:type="dxa" w:w="263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Предоставить серверный репозиторий/сборку и согласовать контракт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AR-03</w:t>
            </w:r>
          </w:p>
        </w:tc>
        <w:tc>
          <w:tcPr>
            <w:tcW w:type="dxa" w:w="25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Сохранять единый интерфейс demo/real с явным режимом</w:t>
            </w:r>
          </w:p>
        </w:tc>
        <w:tc>
          <w:tcPr>
            <w:tcW w:type="dxa" w:w="242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Существующие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PredictionApi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configuredApi</w:t>
            </w:r>
          </w:p>
        </w:tc>
        <w:tc>
          <w:tcPr>
            <w:tcW w:type="dxa" w:w="263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смешивать fixture и настоящий inference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AR-04</w:t>
            </w:r>
          </w:p>
        </w:tc>
        <w:tc>
          <w:tcPr>
            <w:tcW w:type="dxa" w:w="25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Способ исполнения модели пока не выбран</w:t>
            </w:r>
          </w:p>
        </w:tc>
        <w:tc>
          <w:tcPr>
            <w:tcW w:type="dxa" w:w="242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артефакта и подтверждённых ограничений среды</w:t>
            </w:r>
          </w:p>
        </w:tc>
        <w:tc>
          <w:tcPr>
            <w:tcW w:type="dxa" w:w="263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Сравнить интеграционные варианты и выполнить небольшой тест эквивалентности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AR-05</w:t>
            </w:r>
          </w:p>
        </w:tc>
        <w:tc>
          <w:tcPr>
            <w:tcW w:type="dxa" w:w="25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Три модуля внедрять независимо и поэтапно</w:t>
            </w:r>
          </w:p>
        </w:tc>
        <w:tc>
          <w:tcPr>
            <w:tcW w:type="dxa" w:w="242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Разные задачи, данные и временная структура</w:t>
            </w:r>
          </w:p>
        </w:tc>
        <w:tc>
          <w:tcPr>
            <w:tcW w:type="dxa" w:w="263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Сначала согласовать один вертикальный модуль, затем расширять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AR-06</w:t>
            </w:r>
          </w:p>
        </w:tc>
        <w:tc>
          <w:tcPr>
            <w:tcW w:type="dxa" w:w="25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вводить БД/auth/history в текущий обязательный pipeline</w:t>
            </w:r>
          </w:p>
        </w:tc>
        <w:tc>
          <w:tcPr>
            <w:tcW w:type="dxa" w:w="242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Функции отключены, политики хранения нет</w:t>
            </w:r>
          </w:p>
        </w:tc>
        <w:tc>
          <w:tcPr>
            <w:tcW w:type="dxa" w:w="263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Отдельное согласование и требования до включения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AR-07</w:t>
            </w:r>
          </w:p>
        </w:tc>
        <w:tc>
          <w:tcPr>
            <w:tcW w:type="dxa" w:w="25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Доступность модулей и временной API — будущий контракт</w:t>
            </w:r>
          </w:p>
        </w:tc>
        <w:tc>
          <w:tcPr>
            <w:tcW w:type="dxa" w:w="242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Текущий GET описывает один набор полей</w:t>
            </w:r>
          </w:p>
        </w:tc>
        <w:tc>
          <w:tcPr>
            <w:tcW w:type="dxa" w:w="263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Выполнить D6 спецификации, затем менять код/тесты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Рекомендуемая последовательность: научная постановка и данные → baseline и MLP первого утверждённого модуля → воспроизводимая оценка → настоящий вертикальный API → второй модуль → временной модуль при подтверждённых данных → многомодульный UI. Это план, а не отчёт о завершённых работах.</w:t>
      </w:r>
    </w:p>
    <w:p>
      <w:bookmarkStart w:id="12" w:name="section_012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10. Прослеживаемость и контроль согласованности</w:t>
      </w:r>
      <w:bookmarkEnd w:id="1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196"/>
        <w:gridCol w:w="2227"/>
        <w:gridCol w:w="2407"/>
        <w:gridCol w:w="2808"/>
      </w:tblGrid>
      <w:tr>
        <w:trPr>
          <w:cantSplit/>
          <w:tblHeader/>
        </w:trPr>
        <w:tc>
          <w:tcPr>
            <w:tcW w:type="dxa" w:w="2196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Диаграмма / граница</w:t>
            </w:r>
          </w:p>
        </w:tc>
        <w:tc>
          <w:tcPr>
            <w:tcW w:type="dxa" w:w="222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Требования</w:t>
            </w:r>
          </w:p>
        </w:tc>
        <w:tc>
          <w:tcPr>
            <w:tcW w:type="dxa" w:w="240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Компоненты</w:t>
            </w:r>
          </w:p>
        </w:tc>
        <w:tc>
          <w:tcPr>
            <w:tcW w:type="dxa" w:w="2808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Проверка согласованности</w:t>
            </w:r>
          </w:p>
        </w:tc>
      </w:tr>
      <w:tr>
        <w:trPr>
          <w:cantSplit/>
        </w:trPr>
        <w:tc>
          <w:tcPr>
            <w:tcW w:type="dxa" w:w="21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CTX-01: пользователь, demo, API, PDF</w:t>
            </w:r>
          </w:p>
        </w:tc>
        <w:tc>
          <w:tcPr>
            <w:tcW w:type="dxa" w:w="222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FR-01/04/07/08/10/12/13; NFR-01/07/08</w:t>
            </w:r>
          </w:p>
        </w:tc>
        <w:tc>
          <w:tcPr>
            <w:tcW w:type="dxa" w:w="240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Браузер, предлагаемый сервер, внешние данные/обучение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Demo явно фиксирован; три модуля — план; данные не идут из demo на обучение</w:t>
            </w:r>
          </w:p>
        </w:tc>
      </w:tr>
      <w:tr>
        <w:trPr>
          <w:cantSplit/>
        </w:trPr>
        <w:tc>
          <w:tcPr>
            <w:tcW w:type="dxa" w:w="21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UC-01: UC-A/UC-B</w:t>
            </w:r>
          </w:p>
        </w:tc>
        <w:tc>
          <w:tcPr>
            <w:tcW w:type="dxa" w:w="222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FR-01/02/03/09; NFR-02/03/07</w:t>
            </w:r>
          </w:p>
        </w:tc>
        <w:tc>
          <w:tcPr>
            <w:tcW w:type="dxa" w:w="240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Страницы, поля, i18n, validation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Ошибки/единицы и ограничения соответствуют спецификации</w:t>
            </w:r>
          </w:p>
        </w:tc>
      </w:tr>
      <w:tr>
        <w:trPr>
          <w:cantSplit/>
        </w:trPr>
        <w:tc>
          <w:tcPr>
            <w:tcW w:type="dxa" w:w="21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UC-01: UC-C/UC-D/UC-E</w:t>
            </w:r>
          </w:p>
        </w:tc>
        <w:tc>
          <w:tcPr>
            <w:tcW w:type="dxa" w:w="222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FR-04…FR-08/10; NFR-01/05</w:t>
            </w:r>
          </w:p>
        </w:tc>
        <w:tc>
          <w:tcPr>
            <w:tcW w:type="dxa" w:w="240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Hook, HTTP, результат, PDF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Отмена, отсутствие fallback, PDF без POST</w:t>
            </w:r>
          </w:p>
        </w:tc>
      </w:tr>
      <w:tr>
        <w:trPr>
          <w:cantSplit/>
        </w:trPr>
        <w:tc>
          <w:tcPr>
            <w:tcW w:type="dxa" w:w="2196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UC-01: UC-F</w:t>
            </w:r>
          </w:p>
        </w:tc>
        <w:tc>
          <w:tcPr>
            <w:tcW w:type="dxa" w:w="222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FR-12/13</w:t>
            </w:r>
          </w:p>
        </w:tc>
        <w:tc>
          <w:tcPr>
            <w:tcW w:type="dxa" w:w="240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Будущий выбор/статусы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выдавать неподдерживаемый модуль за готовый</w:t>
            </w:r>
          </w:p>
        </w:tc>
      </w:tr>
      <w:tr>
        <w:trPr>
          <w:cantSplit/>
        </w:trPr>
        <w:tc>
          <w:tcPr>
            <w:tcW w:type="dxa" w:w="21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CMP-01: клиентская граница</w:t>
            </w:r>
          </w:p>
        </w:tc>
        <w:tc>
          <w:tcPr>
            <w:tcW w:type="dxa" w:w="222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FR-02…FR-09; NFR-01…NFR-05</w:t>
            </w:r>
          </w:p>
        </w:tc>
        <w:tc>
          <w:tcPr>
            <w:tcW w:type="dxa" w:w="240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Существующие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src/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Соответствие исходникам и имеющимся тестам</w:t>
            </w:r>
          </w:p>
        </w:tc>
      </w:tr>
      <w:tr>
        <w:trPr>
          <w:cantSplit/>
        </w:trPr>
        <w:tc>
          <w:tcPr>
            <w:tcW w:type="dxa" w:w="21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CMP-01: серверная граница</w:t>
            </w:r>
          </w:p>
        </w:tc>
        <w:tc>
          <w:tcPr>
            <w:tcW w:type="dxa" w:w="222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FR-10/12/13; NFR-02/06/08/09</w:t>
            </w:r>
          </w:p>
        </w:tc>
        <w:tc>
          <w:tcPr>
            <w:tcW w:type="dxa" w:w="240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Планируемые REST/preprocessing/inference/response/M1–M3</w:t>
            </w:r>
          </w:p>
        </w:tc>
        <w:tc>
          <w:tcPr>
            <w:tcW w:type="dxa" w:w="280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Независимая валидация, версии и эквивалентность; интеграция ещё ожидается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Полные зависимости, критерии приёмки и способы проверки находятся в </w:t>
      </w:r>
      <w:hyperlink r:id="rId12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спецификации требований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Архитектура не вводит доказательства модельного качества или сквозной работоспособности сверх представленных артефактов.</w:t>
      </w:r>
    </w:p>
    <w:p>
      <w:bookmarkStart w:id="13" w:name="section_013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11. Редактирование и проверка артефактов</w:t>
      </w:r>
      <w:bookmarkEnd w:id="13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Для каждого рисунка сохранены несжатый XML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.drawio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viewable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.svg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и растровый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.png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.drawio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открывается в совместимом редакторе diagrams.net; источники содержат отдельные узлы, связи, подписи и геометрию, а не одну вставленную картинку. SVG и PNG сформированы из тех же подписей и координат. После изменения источника нужно заново экспортировать изображения и проверить соответствие требований, состояний и путей API.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При подготовке этой версии проверена XML-структура обеих форм, число узлов/связей, координаты и читаемость всех трёх PNG. Источники не проходили отдельное интерактивное открытие в diagrams.net. Полный набор тестов приложения только ради новых документов не запускался; документ не утверждает обратного. Код, существующие документы и старые диаграммы не менялись.</w:t>
      </w:r>
    </w:p>
    <w:sectPr w:rsidR="00FC693F" w:rsidRPr="0006063C" w:rsidSect="00034616"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9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20"/>
    </w:pPr>
    <w:rPr>
      <w:rFonts w:ascii="Times New Roman" w:hAnsi="Times New Roman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evidence/university-requirements-extract.md" TargetMode="External"/><Relationship Id="rId11" Type="http://schemas.openxmlformats.org/officeDocument/2006/relationships/hyperlink" Target="../api-contract.md" TargetMode="External"/><Relationship Id="rId12" Type="http://schemas.openxmlformats.org/officeDocument/2006/relationships/hyperlink" Target="MedPredict_Requirements_Specification.docx" TargetMode="External"/><Relationship Id="rId13" Type="http://schemas.openxmlformats.org/officeDocument/2006/relationships/image" Target="media/image1.png"/><Relationship Id="rId14" Type="http://schemas.openxmlformats.org/officeDocument/2006/relationships/hyperlink" Target="../architecture/diagrams/context.drawio" TargetMode="External"/><Relationship Id="rId15" Type="http://schemas.openxmlformats.org/officeDocument/2006/relationships/hyperlink" Target="../architecture/diagrams/context.svg" TargetMode="External"/><Relationship Id="rId16" Type="http://schemas.openxmlformats.org/officeDocument/2006/relationships/hyperlink" Target="../architecture/diagrams/context.png" TargetMode="External"/><Relationship Id="rId17" Type="http://schemas.openxmlformats.org/officeDocument/2006/relationships/image" Target="media/image2.png"/><Relationship Id="rId18" Type="http://schemas.openxmlformats.org/officeDocument/2006/relationships/hyperlink" Target="../architecture/diagrams/use-cases.drawio" TargetMode="External"/><Relationship Id="rId19" Type="http://schemas.openxmlformats.org/officeDocument/2006/relationships/hyperlink" Target="../architecture/diagrams/use-cases.svg" TargetMode="External"/><Relationship Id="rId20" Type="http://schemas.openxmlformats.org/officeDocument/2006/relationships/hyperlink" Target="../architecture/diagrams/use-cases.png" TargetMode="External"/><Relationship Id="rId21" Type="http://schemas.openxmlformats.org/officeDocument/2006/relationships/image" Target="media/image3.png"/><Relationship Id="rId22" Type="http://schemas.openxmlformats.org/officeDocument/2006/relationships/hyperlink" Target="../architecture/diagrams/components.drawio" TargetMode="External"/><Relationship Id="rId23" Type="http://schemas.openxmlformats.org/officeDocument/2006/relationships/hyperlink" Target="../architecture/diagrams/components.svg" TargetMode="External"/><Relationship Id="rId24" Type="http://schemas.openxmlformats.org/officeDocument/2006/relationships/hyperlink" Target="../architecture/diagrams/components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и обязательные диаграммы MedPredict</dc:title>
  <dc:subject>Первая предварительная защита 24.10.2026</dc:subject>
  <dc:creator>MedPredict</dc:creator>
  <cp:keywords/>
  <dc:description>Source: docs/architecture/MedPredict_Architecture.md</dc:description>
  <cp:lastModifiedBy/>
  <cp:revision>1</cp:revision>
  <dcterms:created xsi:type="dcterms:W3CDTF">2013-12-23T23:15:00Z</dcterms:created>
  <dcterms:modified xsi:type="dcterms:W3CDTF">2013-12-23T23:15:00Z</dcterms:modified>
  <cp:category/>
  <dc:identifier>medpredict-predefense-builder-v1</dc:identifier>
</cp:coreProperties>
</file>