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  <w:gridCol w:w="4320"/>
      </w:tblGrid>
      <w:tr>
        <w:trPr/>
        <w:tc>
          <w:tcPr>
            <w:tcW w:type="dxa" w:w="7229"/>
            <w:vAlign w:val="top"/>
            <w:tcMar>
              <w:top w:w="8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anumBarunGothic" w:hAnsi="NanumBarunGothic" w:eastAsia="NanumBarunGothic"/>
                <w:b/>
                <w:i w:val="0"/>
                <w:color w:val="111827"/>
                <w:sz w:val="40"/>
              </w:rPr>
              <w:t>보수형 DEX 자동매매 원페이저</w:t>
            </w:r>
          </w:p>
          <w:p>
            <w:pPr>
              <w:spacing w:before="0" w:after="40" w:line="240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374151"/>
                <w:sz w:val="19"/>
              </w:rPr>
              <w:t xml:space="preserve">핵심은 방향 예측이 아니라 </w:t>
            </w:r>
            <w:r>
              <w:rPr>
                <w:rFonts w:ascii="NanumBarunGothic" w:hAnsi="NanumBarunGothic" w:eastAsia="NanumBarunGothic"/>
                <w:b/>
                <w:i w:val="0"/>
                <w:color w:val="0F766E"/>
                <w:sz w:val="19"/>
              </w:rPr>
              <w:t>구조적 우위</w:t>
            </w:r>
            <w:r>
              <w:rPr>
                <w:rFonts w:ascii="NanumBarunGothic" w:hAnsi="NanumBarunGothic" w:eastAsia="NanumBarunGothic"/>
                <w:b w:val="0"/>
                <w:i w:val="0"/>
                <w:color w:val="374151"/>
                <w:sz w:val="19"/>
              </w:rPr>
              <w:t>를 반복 수집하는 것입니다.</w:t>
            </w:r>
          </w:p>
          <w:p>
            <w:pPr>
              <w:spacing w:before="0" w:after="0" w:line="240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B91C1C"/>
                <w:sz w:val="18"/>
              </w:rPr>
              <w:t xml:space="preserve">무조건 이기는 전략은 없습니다. 대신 </w:t>
            </w:r>
            <w:r>
              <w:rPr>
                <w:rFonts w:ascii="NanumBarunGothic" w:hAnsi="NanumBarunGothic" w:eastAsia="NanumBarunGothic"/>
                <w:b/>
                <w:i w:val="0"/>
                <w:color w:val="B91C1C"/>
                <w:sz w:val="18"/>
              </w:rPr>
              <w:t>손실 가능성을 줄이는 구조</w:t>
            </w:r>
            <w:r>
              <w:rPr>
                <w:rFonts w:ascii="NanumBarunGothic" w:hAnsi="NanumBarunGothic" w:eastAsia="NanumBarunGothic"/>
                <w:b w:val="0"/>
                <w:i w:val="0"/>
                <w:color w:val="B91C1C"/>
                <w:sz w:val="18"/>
              </w:rPr>
              <w:t>로 설계합니다.</w:t>
            </w:r>
          </w:p>
        </w:tc>
        <w:tc>
          <w:tcPr>
            <w:tcW w:type="dxa" w:w="7229"/>
            <w:vAlign w:val="top"/>
            <w:tcMar>
              <w:top w:w="80" w:type="dxa"/>
              <w:start w:w="90" w:type="dxa"/>
              <w:bottom w:w="70" w:type="dxa"/>
              <w:end w:w="90" w:type="dxa"/>
            </w:tcMar>
            <w:shd w:fill="F5FAF9" w:val="clear"/>
            <w:tcBorders>
              <w:top w:val="single" w:sz="10" w:color="D9E6E3"/>
              <w:bottom w:val="single" w:sz="10" w:color="D9E6E3"/>
              <w:left w:val="single" w:sz="10" w:color="D9E6E3"/>
              <w:right w:val="single" w:sz="10" w:color="D9E6E3"/>
            </w:tcBorders>
          </w:tcPr>
          <w:p>
            <w:pPr>
              <w:spacing w:before="0" w:after="20" w:line="252" w:lineRule="auto"/>
            </w:pPr>
            <w:r>
              <w:rPr>
                <w:rFonts w:ascii="NanumBarunGothic" w:hAnsi="NanumBarunGothic" w:eastAsia="NanumBarunGothic"/>
                <w:b/>
                <w:i w:val="0"/>
                <w:color w:val="0F766E"/>
                <w:sz w:val="21"/>
              </w:rPr>
              <w:t>최종 추천</w:t>
            </w:r>
          </w:p>
          <w:p>
            <w:pPr>
              <w:spacing w:before="0" w:after="0" w:line="240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374151"/>
                <w:sz w:val="17"/>
              </w:rPr>
              <w:t xml:space="preserve">단일 메인 venue  </w:t>
            </w:r>
            <w:r>
              <w:rPr>
                <w:rFonts w:ascii="NanumBarunGothic" w:hAnsi="NanumBarunGothic" w:eastAsia="NanumBarunGothic"/>
                <w:b/>
                <w:i w:val="0"/>
                <w:color w:val="111827"/>
                <w:sz w:val="18"/>
              </w:rPr>
              <w:t>Hyperliquid</w:t>
            </w:r>
          </w:p>
          <w:p>
            <w:pPr>
              <w:spacing w:before="0" w:after="0" w:line="240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374151"/>
                <w:sz w:val="17"/>
              </w:rPr>
              <w:t xml:space="preserve">보조 venue  </w:t>
            </w:r>
            <w:r>
              <w:rPr>
                <w:rFonts w:ascii="NanumBarunGothic" w:hAnsi="NanumBarunGothic" w:eastAsia="NanumBarunGothic"/>
                <w:b/>
                <w:i w:val="0"/>
                <w:color w:val="111827"/>
                <w:sz w:val="18"/>
              </w:rPr>
              <w:t>Lighter</w:t>
            </w:r>
          </w:p>
          <w:p>
            <w:pPr>
              <w:spacing w:before="0" w:after="0" w:line="240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374151"/>
                <w:sz w:val="17"/>
              </w:rPr>
              <w:t xml:space="preserve">추천 전략  </w:t>
            </w:r>
            <w:r>
              <w:rPr>
                <w:rFonts w:ascii="NanumBarunGothic" w:hAnsi="NanumBarunGothic" w:eastAsia="NanumBarunGothic"/>
                <w:b/>
                <w:i w:val="0"/>
                <w:color w:val="111827"/>
                <w:sz w:val="18"/>
              </w:rPr>
              <w:t>BTC/ETH 중심 funding spread</w:t>
            </w:r>
          </w:p>
          <w:p>
            <w:pPr>
              <w:spacing w:before="0" w:after="0" w:line="240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374151"/>
                <w:sz w:val="17"/>
              </w:rPr>
              <w:t xml:space="preserve">배제 전략  </w:t>
            </w:r>
            <w:r>
              <w:rPr>
                <w:rFonts w:ascii="NanumBarunGothic" w:hAnsi="NanumBarunGothic" w:eastAsia="NanumBarunGothic"/>
                <w:b/>
                <w:i w:val="0"/>
                <w:color w:val="111827"/>
                <w:sz w:val="18"/>
              </w:rPr>
              <w:t>liquidity hunt fade, breakout 추격</w:t>
            </w:r>
          </w:p>
        </w:tc>
      </w:tr>
    </w:tbl>
    <w:p>
      <w:pPr>
        <w:spacing w:before="40" w:after="4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229"/>
            <w:vAlign w:val="top"/>
            <w:shd w:fill="FFFFFF" w:val="clear"/>
            <w:tcBorders>
              <w:top w:val="single" w:sz="8" w:color="D9E6E3"/>
              <w:bottom w:val="single" w:sz="8" w:color="D9E6E3"/>
              <w:left w:val="single" w:sz="8" w:color="D9E6E3"/>
              <w:right w:val="single" w:sz="8" w:color="D9E6E3"/>
            </w:tcBorders>
            <w:tcMar>
              <w:top w:w="8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20" w:line="252" w:lineRule="auto"/>
            </w:pPr>
            <w:r>
              <w:rPr>
                <w:rFonts w:ascii="NanumBarunGothic" w:hAnsi="NanumBarunGothic" w:eastAsia="NanumBarunGothic"/>
                <w:b/>
                <w:i w:val="0"/>
                <w:color w:val="0F766E"/>
                <w:sz w:val="21"/>
              </w:rPr>
              <w:t>1. 왜 이 전략인가</w:t>
            </w:r>
          </w:p>
          <w:p>
            <w:pPr>
              <w:spacing w:before="0" w:after="20" w:line="252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374151"/>
                <w:sz w:val="17"/>
              </w:rPr>
              <w:t>예측형이 아니라 델타 중립형으로 간다</w:t>
            </w:r>
          </w:p>
          <w:p>
            <w:pPr>
              <w:pStyle w:val="ListBullet"/>
              <w:spacing w:before="0" w:after="0" w:line="245" w:lineRule="auto"/>
              <w:ind w:left="113"/>
            </w:pPr>
            <w:r>
              <w:rPr>
                <w:rFonts w:ascii="NanumBarunGothic" w:hAnsi="NanumBarunGothic" w:eastAsia="NanumBarunGothic"/>
                <w:b w:val="0"/>
                <w:i w:val="0"/>
                <w:color w:val="374151"/>
                <w:sz w:val="17"/>
              </w:rPr>
              <w:t>수익 원천을 가격 방향이 아니라 funding 차이와 비용 차이에서 가져옵니다.</w:t>
            </w:r>
          </w:p>
          <w:p>
            <w:pPr>
              <w:pStyle w:val="ListBullet"/>
              <w:spacing w:before="0" w:after="0" w:line="245" w:lineRule="auto"/>
              <w:ind w:left="113"/>
            </w:pPr>
            <w:r>
              <w:rPr>
                <w:rFonts w:ascii="NanumBarunGothic" w:hAnsi="NanumBarunGothic" w:eastAsia="NanumBarunGothic"/>
                <w:b w:val="0"/>
                <w:i w:val="0"/>
                <w:color w:val="374151"/>
                <w:sz w:val="17"/>
              </w:rPr>
              <w:t>양쪽 포지션의 명목가치를 맞춰 순 델타를 거의 0으로 유지합니다.</w:t>
            </w:r>
          </w:p>
          <w:p>
            <w:pPr>
              <w:pStyle w:val="ListBullet"/>
              <w:spacing w:before="0" w:after="0" w:line="245" w:lineRule="auto"/>
              <w:ind w:left="113"/>
            </w:pPr>
            <w:r>
              <w:rPr>
                <w:rFonts w:ascii="NanumBarunGothic" w:hAnsi="NanumBarunGothic" w:eastAsia="NanumBarunGothic"/>
                <w:b w:val="0"/>
                <w:i w:val="0"/>
                <w:color w:val="374151"/>
                <w:sz w:val="17"/>
              </w:rPr>
              <w:t>거래 횟수보다 진입 조건이 중요합니다. 조건이 없으면 아무 것도 하지 않습니다.</w:t>
            </w:r>
          </w:p>
          <w:p>
            <w:pPr>
              <w:pStyle w:val="ListBullet"/>
              <w:spacing w:before="0" w:after="0" w:line="245" w:lineRule="auto"/>
              <w:ind w:left="113"/>
            </w:pPr>
            <w:r>
              <w:rPr>
                <w:rFonts w:ascii="NanumBarunGothic" w:hAnsi="NanumBarunGothic" w:eastAsia="NanumBarunGothic"/>
                <w:b w:val="0"/>
                <w:i w:val="0"/>
                <w:color w:val="374151"/>
                <w:sz w:val="17"/>
              </w:rPr>
              <w:t>대상은 BTC·ETH만 사용합니다. 알트·프리런치·얇은 호가 종목은 제외합니다.</w:t>
            </w:r>
          </w:p>
        </w:tc>
        <w:tc>
          <w:tcPr>
            <w:tcW w:type="dxa" w:w="7229"/>
            <w:vAlign w:val="top"/>
            <w:shd w:fill="FFFFFF" w:val="clear"/>
            <w:tcBorders>
              <w:top w:val="single" w:sz="8" w:color="D9E6E3"/>
              <w:bottom w:val="single" w:sz="8" w:color="D9E6E3"/>
              <w:left w:val="single" w:sz="8" w:color="D9E6E3"/>
              <w:right w:val="single" w:sz="8" w:color="D9E6E3"/>
            </w:tcBorders>
            <w:tcMar>
              <w:top w:w="8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20" w:line="252" w:lineRule="auto"/>
            </w:pPr>
            <w:r>
              <w:rPr>
                <w:rFonts w:ascii="NanumBarunGothic" w:hAnsi="NanumBarunGothic" w:eastAsia="NanumBarunGothic"/>
                <w:b/>
                <w:i w:val="0"/>
                <w:color w:val="0F766E"/>
                <w:sz w:val="21"/>
              </w:rPr>
              <w:t>2. 전략 규칙</w:t>
            </w:r>
          </w:p>
          <w:p>
            <w:pPr>
              <w:spacing w:before="0" w:after="20" w:line="252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374151"/>
                <w:sz w:val="17"/>
              </w:rPr>
              <w:t>Hyperliquid long/short + Lighter 반대 leg</w:t>
            </w:r>
          </w:p>
          <w:p>
            <w:pPr>
              <w:pStyle w:val="ListBullet"/>
              <w:spacing w:before="0" w:after="0" w:line="245" w:lineRule="auto"/>
              <w:ind w:left="113"/>
            </w:pPr>
            <w:r>
              <w:rPr>
                <w:rFonts w:ascii="NanumBarunGothic" w:hAnsi="NanumBarunGothic" w:eastAsia="NanumBarunGothic"/>
                <w:b w:val="0"/>
                <w:i w:val="0"/>
                <w:color w:val="374151"/>
                <w:sz w:val="17"/>
              </w:rPr>
              <w:t>진입: 예측 funding 차이 − 수수료 − 슬리피지 − 안전버퍼가 0보다 충분히 클 때만 진입</w:t>
            </w:r>
          </w:p>
          <w:p>
            <w:pPr>
              <w:pStyle w:val="ListBullet"/>
              <w:spacing w:before="0" w:after="0" w:line="245" w:lineRule="auto"/>
              <w:ind w:left="113"/>
            </w:pPr>
            <w:r>
              <w:rPr>
                <w:rFonts w:ascii="NanumBarunGothic" w:hAnsi="NanumBarunGothic" w:eastAsia="NanumBarunGothic"/>
                <w:b w:val="0"/>
                <w:i w:val="0"/>
                <w:color w:val="374151"/>
                <w:sz w:val="17"/>
              </w:rPr>
              <w:t>실행: maker 우선, 지정한 최대 슬리피지 안에서만 taker 보조 실행</w:t>
            </w:r>
          </w:p>
          <w:p>
            <w:pPr>
              <w:pStyle w:val="ListBullet"/>
              <w:spacing w:before="0" w:after="0" w:line="245" w:lineRule="auto"/>
              <w:ind w:left="113"/>
            </w:pPr>
            <w:r>
              <w:rPr>
                <w:rFonts w:ascii="NanumBarunGothic" w:hAnsi="NanumBarunGothic" w:eastAsia="NanumBarunGothic"/>
                <w:b w:val="0"/>
                <w:i w:val="0"/>
                <w:color w:val="374151"/>
                <w:sz w:val="17"/>
              </w:rPr>
              <w:t>종료: funding 차이 축소, funding 부호 반전, 한쪽 leg 미체결, venue 이상 징후 발생 시 즉시 축소</w:t>
            </w:r>
          </w:p>
          <w:p>
            <w:pPr>
              <w:pStyle w:val="ListBullet"/>
              <w:spacing w:before="0" w:after="0" w:line="245" w:lineRule="auto"/>
              <w:ind w:left="113"/>
            </w:pPr>
            <w:r>
              <w:rPr>
                <w:rFonts w:ascii="NanumBarunGothic" w:hAnsi="NanumBarunGothic" w:eastAsia="NanumBarunGothic"/>
                <w:b w:val="0"/>
                <w:i w:val="0"/>
                <w:color w:val="374151"/>
                <w:sz w:val="17"/>
              </w:rPr>
              <w:t>레버리지: gross 1.0x~1.5x 이내, 순 델타 허용오차 ±2% 이내</w:t>
            </w:r>
          </w:p>
          <w:p>
            <w:pPr>
              <w:pStyle w:val="ListBullet"/>
              <w:spacing w:before="0" w:after="0" w:line="245" w:lineRule="auto"/>
              <w:ind w:left="113"/>
            </w:pPr>
            <w:r>
              <w:rPr>
                <w:rFonts w:ascii="NanumBarunGothic" w:hAnsi="NanumBarunGothic" w:eastAsia="NanumBarunGothic"/>
                <w:b w:val="0"/>
                <w:i w:val="0"/>
                <w:color w:val="374151"/>
                <w:sz w:val="17"/>
              </w:rPr>
              <w:t>현금 버퍼: 각 venue에 별도 현금 25% 이상 유지</w:t>
            </w:r>
          </w:p>
        </w:tc>
      </w:tr>
      <w:tr>
        <w:tc>
          <w:tcPr>
            <w:tcW w:type="dxa" w:w="7229"/>
            <w:vAlign w:val="top"/>
            <w:shd w:fill="FFFFFF" w:val="clear"/>
            <w:tcBorders>
              <w:top w:val="single" w:sz="8" w:color="D9E6E3"/>
              <w:bottom w:val="single" w:sz="8" w:color="D9E6E3"/>
              <w:left w:val="single" w:sz="8" w:color="D9E6E3"/>
              <w:right w:val="single" w:sz="8" w:color="D9E6E3"/>
            </w:tcBorders>
            <w:tcMar>
              <w:top w:w="8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20" w:line="252" w:lineRule="auto"/>
            </w:pPr>
            <w:r>
              <w:rPr>
                <w:rFonts w:ascii="NanumBarunGothic" w:hAnsi="NanumBarunGothic" w:eastAsia="NanumBarunGothic"/>
                <w:b/>
                <w:i w:val="0"/>
                <w:color w:val="0F766E"/>
                <w:sz w:val="21"/>
              </w:rPr>
              <w:t>3. 왜 Hyperliquid를 메인으로 쓰나</w:t>
            </w:r>
          </w:p>
          <w:p>
            <w:pPr>
              <w:spacing w:before="0" w:after="20" w:line="252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374151"/>
                <w:sz w:val="17"/>
              </w:rPr>
              <w:t>유동성·헤지 신뢰성 기준</w:t>
            </w:r>
          </w:p>
          <w:p>
            <w:pPr>
              <w:pStyle w:val="ListBullet"/>
              <w:spacing w:before="0" w:after="0" w:line="245" w:lineRule="auto"/>
              <w:ind w:left="113"/>
            </w:pPr>
            <w:r>
              <w:rPr>
                <w:rFonts w:ascii="NanumBarunGothic" w:hAnsi="NanumBarunGothic" w:eastAsia="NanumBarunGothic"/>
                <w:b w:val="0"/>
                <w:i w:val="0"/>
                <w:color w:val="374151"/>
                <w:sz w:val="16"/>
              </w:rPr>
              <w:t>현재 24h perp volume $7.954b, open interest $6.093b로 Lighter보다 깊습니다.</w:t>
            </w:r>
          </w:p>
          <w:p>
            <w:pPr>
              <w:pStyle w:val="ListBullet"/>
              <w:spacing w:before="0" w:after="0" w:line="245" w:lineRule="auto"/>
              <w:ind w:left="113"/>
            </w:pPr>
            <w:r>
              <w:rPr>
                <w:rFonts w:ascii="NanumBarunGothic" w:hAnsi="NanumBarunGothic" w:eastAsia="NanumBarunGothic"/>
                <w:b w:val="0"/>
                <w:i w:val="0"/>
                <w:color w:val="374151"/>
                <w:sz w:val="16"/>
              </w:rPr>
              <w:t>fully onchain spot·perp order books와 one-block finality를 제공합니다.</w:t>
            </w:r>
          </w:p>
          <w:p>
            <w:pPr>
              <w:pStyle w:val="ListBullet"/>
              <w:spacing w:before="0" w:after="0" w:line="245" w:lineRule="auto"/>
              <w:ind w:left="113"/>
            </w:pPr>
            <w:r>
              <w:rPr>
                <w:rFonts w:ascii="NanumBarunGothic" w:hAnsi="NanumBarunGothic" w:eastAsia="NanumBarunGothic"/>
                <w:b w:val="0"/>
                <w:i w:val="0"/>
                <w:color w:val="374151"/>
                <w:sz w:val="16"/>
              </w:rPr>
              <w:t>info API에서 fundingHistory, userFunding, predictedFundings 같은 데이터 접근이 가능합니다.</w:t>
            </w:r>
          </w:p>
          <w:p>
            <w:pPr>
              <w:pStyle w:val="ListBullet"/>
              <w:spacing w:before="0" w:after="0" w:line="245" w:lineRule="auto"/>
              <w:ind w:left="113"/>
            </w:pPr>
            <w:r>
              <w:rPr>
                <w:rFonts w:ascii="NanumBarunGothic" w:hAnsi="NanumBarunGothic" w:eastAsia="NanumBarunGothic"/>
                <w:b w:val="0"/>
                <w:i w:val="0"/>
                <w:color w:val="374151"/>
                <w:sz w:val="16"/>
              </w:rPr>
              <w:t>REST 1200 weight/min, 최대 10 WS 연결, 1000 subscriptions 한도가 문서화돼 있습니다.</w:t>
            </w:r>
          </w:p>
        </w:tc>
        <w:tc>
          <w:tcPr>
            <w:tcW w:type="dxa" w:w="7229"/>
            <w:vAlign w:val="top"/>
            <w:shd w:fill="FFFFFF" w:val="clear"/>
            <w:tcBorders>
              <w:top w:val="single" w:sz="8" w:color="D9E6E3"/>
              <w:bottom w:val="single" w:sz="8" w:color="D9E6E3"/>
              <w:left w:val="single" w:sz="8" w:color="D9E6E3"/>
              <w:right w:val="single" w:sz="8" w:color="D9E6E3"/>
            </w:tcBorders>
            <w:tcMar>
              <w:top w:w="8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20" w:line="252" w:lineRule="auto"/>
            </w:pPr>
            <w:r>
              <w:rPr>
                <w:rFonts w:ascii="NanumBarunGothic" w:hAnsi="NanumBarunGothic" w:eastAsia="NanumBarunGothic"/>
                <w:b/>
                <w:i w:val="0"/>
                <w:color w:val="0F766E"/>
                <w:sz w:val="21"/>
              </w:rPr>
              <w:t>4. Lighter는 어디에 좋은가</w:t>
            </w:r>
          </w:p>
          <w:p>
            <w:pPr>
              <w:spacing w:before="0" w:after="20" w:line="252" w:lineRule="auto"/>
            </w:pPr>
            <w:r>
              <w:rPr>
                <w:rFonts w:ascii="NanumBarunGothic" w:hAnsi="NanumBarunGothic" w:eastAsia="NanumBarunGothic"/>
                <w:b w:val="0"/>
                <w:i w:val="0"/>
                <w:color w:val="374151"/>
                <w:sz w:val="17"/>
              </w:rPr>
              <w:t>단독 메인보다 서브 venue로 더 적합</w:t>
            </w:r>
          </w:p>
          <w:p>
            <w:pPr>
              <w:pStyle w:val="ListBullet"/>
              <w:spacing w:before="0" w:after="0" w:line="245" w:lineRule="auto"/>
              <w:ind w:left="113"/>
            </w:pPr>
            <w:r>
              <w:rPr>
                <w:rFonts w:ascii="NanumBarunGothic" w:hAnsi="NanumBarunGothic" w:eastAsia="NanumBarunGothic"/>
                <w:b w:val="0"/>
                <w:i w:val="0"/>
                <w:color w:val="374151"/>
                <w:sz w:val="16"/>
              </w:rPr>
              <w:t>Standard 계정은 maker/taker 수수료가 모두 0이라 비용이 낮습니다.</w:t>
            </w:r>
          </w:p>
          <w:p>
            <w:pPr>
              <w:pStyle w:val="ListBullet"/>
              <w:spacing w:before="0" w:after="0" w:line="245" w:lineRule="auto"/>
              <w:ind w:left="113"/>
            </w:pPr>
            <w:r>
              <w:rPr>
                <w:rFonts w:ascii="NanumBarunGothic" w:hAnsi="NanumBarunGothic" w:eastAsia="NanumBarunGothic"/>
                <w:b w:val="0"/>
                <w:i w:val="0"/>
                <w:color w:val="374151"/>
                <w:sz w:val="16"/>
              </w:rPr>
              <w:t>order book WebSocket은 50ms 배치 업데이트를 제공합니다.</w:t>
            </w:r>
          </w:p>
          <w:p>
            <w:pPr>
              <w:pStyle w:val="ListBullet"/>
              <w:spacing w:before="0" w:after="0" w:line="245" w:lineRule="auto"/>
              <w:ind w:left="113"/>
            </w:pPr>
            <w:r>
              <w:rPr>
                <w:rFonts w:ascii="NanumBarunGothic" w:hAnsi="NanumBarunGothic" w:eastAsia="NanumBarunGothic"/>
                <w:b w:val="0"/>
                <w:i w:val="0"/>
                <w:color w:val="374151"/>
                <w:sz w:val="16"/>
              </w:rPr>
              <w:t>계정·서브계정마다 API key와 nonce가 분리돼 봇 운용이 단순합니다.</w:t>
            </w:r>
          </w:p>
          <w:p>
            <w:pPr>
              <w:pStyle w:val="ListBullet"/>
              <w:spacing w:before="0" w:after="0" w:line="245" w:lineRule="auto"/>
              <w:ind w:left="113"/>
            </w:pPr>
            <w:r>
              <w:rPr>
                <w:rFonts w:ascii="NanumBarunGothic" w:hAnsi="NanumBarunGothic" w:eastAsia="NanumBarunGothic"/>
                <w:b w:val="0"/>
                <w:i w:val="0"/>
                <w:color w:val="374151"/>
                <w:sz w:val="16"/>
              </w:rPr>
              <w:t>candles, recentTrades, export, funding-rates 등 백필용 엔드포인트가 비교적 명확합니다.</w:t>
            </w:r>
          </w:p>
          <w:p>
            <w:pPr>
              <w:pStyle w:val="ListBullet"/>
              <w:spacing w:before="0" w:after="0" w:line="245" w:lineRule="auto"/>
              <w:ind w:left="113"/>
            </w:pPr>
            <w:r>
              <w:rPr>
                <w:rFonts w:ascii="NanumBarunGothic" w:hAnsi="NanumBarunGothic" w:eastAsia="NanumBarunGothic"/>
                <w:b w:val="0"/>
                <w:i w:val="0"/>
                <w:color w:val="374151"/>
                <w:sz w:val="16"/>
              </w:rPr>
              <w:t>다만 Standard 계정은 taker 300ms, maker/cancel 200ms 지연이 있고 현재 유동성은 Hyperliquid보다 얕습니다.</w:t>
            </w:r>
          </w:p>
        </w:tc>
      </w:tr>
    </w:tbl>
    <w:p>
      <w:pPr>
        <w:spacing w:before="40" w:after="4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  <w:gridCol w:w="5328"/>
      </w:tblGrid>
      <w:tr>
        <w:tc>
          <w:tcPr>
            <w:tcW w:type="dxa" w:w="7229"/>
            <w:vAlign w:val="top"/>
            <w:shd w:fill="F8FBFB" w:val="clear"/>
            <w:tcBorders>
              <w:top w:val="single" w:sz="8" w:color="D9E6E3"/>
              <w:bottom w:val="single" w:sz="8" w:color="D9E6E3"/>
              <w:left w:val="single" w:sz="8" w:color="D9E6E3"/>
              <w:right w:val="single" w:sz="8" w:color="D9E6E3"/>
            </w:tcBorders>
            <w:tcMar>
              <w:top w:w="8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20" w:line="252" w:lineRule="auto"/>
            </w:pPr>
            <w:r>
              <w:rPr>
                <w:rFonts w:ascii="NanumBarunGothic" w:hAnsi="NanumBarunGothic" w:eastAsia="NanumBarunGothic"/>
                <w:b/>
                <w:i w:val="0"/>
                <w:color w:val="0F766E"/>
                <w:sz w:val="21"/>
              </w:rPr>
              <w:t>5. API 선택 요약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807"/>
              <w:gridCol w:w="1807"/>
              <w:gridCol w:w="1807"/>
              <w:gridCol w:w="1807"/>
            </w:tblGrid>
            <w:tr>
              <w:tc>
                <w:tcPr>
                  <w:tcW w:type="dxa" w:w="1656"/>
                  <w:tcMar>
                    <w:top w:w="40" w:type="dxa"/>
                    <w:start w:w="45" w:type="dxa"/>
                    <w:bottom w:w="40" w:type="dxa"/>
                    <w:end w:w="45" w:type="dxa"/>
                  </w:tcMar>
                  <w:vAlign w:val="center"/>
                  <w:tcBorders>
                    <w:left w:val="single" w:sz="6" w:color="D7E0DE"/>
                    <w:top w:val="single" w:sz="6" w:color="D7E0DE"/>
                    <w:right w:val="single" w:sz="6" w:color="D7E0DE"/>
                    <w:bottom w:val="single" w:sz="6" w:color="D7E0DE"/>
                  </w:tcBorders>
                  <w:shd w:fill="EAF4F2" w:val="clea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NanumBarunGothic" w:hAnsi="NanumBarunGothic" w:eastAsia="NanumBarunGothic"/>
                      <w:b/>
                      <w:i w:val="0"/>
                      <w:color w:val="111827"/>
                      <w:sz w:val="17"/>
                    </w:rPr>
                    <w:t>항목</w:t>
                  </w:r>
                </w:p>
              </w:tc>
              <w:tc>
                <w:tcPr>
                  <w:tcW w:type="dxa" w:w="2232"/>
                  <w:tcMar>
                    <w:top w:w="40" w:type="dxa"/>
                    <w:start w:w="45" w:type="dxa"/>
                    <w:bottom w:w="40" w:type="dxa"/>
                    <w:end w:w="45" w:type="dxa"/>
                  </w:tcMar>
                  <w:vAlign w:val="center"/>
                  <w:tcBorders>
                    <w:left w:val="single" w:sz="6" w:color="D7E0DE"/>
                    <w:top w:val="single" w:sz="6" w:color="D7E0DE"/>
                    <w:right w:val="single" w:sz="6" w:color="D7E0DE"/>
                    <w:bottom w:val="single" w:sz="6" w:color="D7E0DE"/>
                  </w:tcBorders>
                  <w:shd w:fill="EAF4F2" w:val="clea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NanumBarunGothic" w:hAnsi="NanumBarunGothic" w:eastAsia="NanumBarunGothic"/>
                      <w:b/>
                      <w:i w:val="0"/>
                      <w:color w:val="111827"/>
                      <w:sz w:val="17"/>
                    </w:rPr>
                    <w:t>Hyperliquid</w:t>
                  </w:r>
                </w:p>
              </w:tc>
              <w:tc>
                <w:tcPr>
                  <w:tcW w:type="dxa" w:w="2232"/>
                  <w:tcMar>
                    <w:top w:w="40" w:type="dxa"/>
                    <w:start w:w="45" w:type="dxa"/>
                    <w:bottom w:w="40" w:type="dxa"/>
                    <w:end w:w="45" w:type="dxa"/>
                  </w:tcMar>
                  <w:vAlign w:val="center"/>
                  <w:tcBorders>
                    <w:left w:val="single" w:sz="6" w:color="D7E0DE"/>
                    <w:top w:val="single" w:sz="6" w:color="D7E0DE"/>
                    <w:right w:val="single" w:sz="6" w:color="D7E0DE"/>
                    <w:bottom w:val="single" w:sz="6" w:color="D7E0DE"/>
                  </w:tcBorders>
                  <w:shd w:fill="EAF4F2" w:val="clea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NanumBarunGothic" w:hAnsi="NanumBarunGothic" w:eastAsia="NanumBarunGothic"/>
                      <w:b/>
                      <w:i w:val="0"/>
                      <w:color w:val="111827"/>
                      <w:sz w:val="17"/>
                    </w:rPr>
                    <w:t>Lighter</w:t>
                  </w:r>
                </w:p>
              </w:tc>
              <w:tc>
                <w:tcPr>
                  <w:tcW w:type="dxa" w:w="2232"/>
                  <w:tcMar>
                    <w:top w:w="40" w:type="dxa"/>
                    <w:start w:w="45" w:type="dxa"/>
                    <w:bottom w:w="40" w:type="dxa"/>
                    <w:end w:w="45" w:type="dxa"/>
                  </w:tcMar>
                  <w:vAlign w:val="center"/>
                  <w:tcBorders>
                    <w:left w:val="single" w:sz="6" w:color="D7E0DE"/>
                    <w:top w:val="single" w:sz="6" w:color="D7E0DE"/>
                    <w:right w:val="single" w:sz="6" w:color="D7E0DE"/>
                    <w:bottom w:val="single" w:sz="6" w:color="D7E0DE"/>
                  </w:tcBorders>
                  <w:shd w:fill="EAF4F2" w:val="clea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NanumBarunGothic" w:hAnsi="NanumBarunGothic" w:eastAsia="NanumBarunGothic"/>
                      <w:b/>
                      <w:i w:val="0"/>
                      <w:color w:val="111827"/>
                      <w:sz w:val="17"/>
                    </w:rPr>
                    <w:t>판정</w:t>
                  </w:r>
                </w:p>
              </w:tc>
            </w:tr>
            <w:tr>
              <w:tc>
                <w:tcPr>
                  <w:tcW w:type="dxa" w:w="1656"/>
                  <w:tcMar>
                    <w:top w:w="40" w:type="dxa"/>
                    <w:start w:w="45" w:type="dxa"/>
                    <w:bottom w:w="40" w:type="dxa"/>
                    <w:end w:w="45" w:type="dxa"/>
                  </w:tcMar>
                  <w:vAlign w:val="center"/>
                  <w:tcBorders>
                    <w:left w:val="single" w:sz="6" w:color="D7E0DE"/>
                    <w:top w:val="single" w:sz="6" w:color="D7E0DE"/>
                    <w:right w:val="single" w:sz="6" w:color="D7E0DE"/>
                    <w:bottom w:val="single" w:sz="6" w:color="D7E0DE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NanumBarunGothic" w:hAnsi="NanumBarunGothic" w:eastAsia="NanumBarunGothic"/>
                      <w:b w:val="0"/>
                      <w:i w:val="0"/>
                      <w:color w:val="111827"/>
                      <w:sz w:val="16"/>
                    </w:rPr>
                    <w:t>유동성 / OI</w:t>
                  </w:r>
                </w:p>
              </w:tc>
              <w:tc>
                <w:tcPr>
                  <w:tcW w:type="dxa" w:w="2232"/>
                  <w:tcMar>
                    <w:top w:w="40" w:type="dxa"/>
                    <w:start w:w="45" w:type="dxa"/>
                    <w:bottom w:w="40" w:type="dxa"/>
                    <w:end w:w="45" w:type="dxa"/>
                  </w:tcMar>
                  <w:vAlign w:val="center"/>
                  <w:tcBorders>
                    <w:left w:val="single" w:sz="6" w:color="D7E0DE"/>
                    <w:top w:val="single" w:sz="6" w:color="D7E0DE"/>
                    <w:right w:val="single" w:sz="6" w:color="D7E0DE"/>
                    <w:bottom w:val="single" w:sz="6" w:color="D7E0DE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NanumBarunGothic" w:hAnsi="NanumBarunGothic" w:eastAsia="NanumBarunGothic"/>
                      <w:b w:val="0"/>
                      <w:i w:val="0"/>
                      <w:color w:val="111827"/>
                      <w:sz w:val="16"/>
                    </w:rPr>
                    <w:t>더 깊음</w:t>
                  </w:r>
                </w:p>
              </w:tc>
              <w:tc>
                <w:tcPr>
                  <w:tcW w:type="dxa" w:w="2232"/>
                  <w:tcMar>
                    <w:top w:w="40" w:type="dxa"/>
                    <w:start w:w="45" w:type="dxa"/>
                    <w:bottom w:w="40" w:type="dxa"/>
                    <w:end w:w="45" w:type="dxa"/>
                  </w:tcMar>
                  <w:vAlign w:val="center"/>
                  <w:tcBorders>
                    <w:left w:val="single" w:sz="6" w:color="D7E0DE"/>
                    <w:top w:val="single" w:sz="6" w:color="D7E0DE"/>
                    <w:right w:val="single" w:sz="6" w:color="D7E0DE"/>
                    <w:bottom w:val="single" w:sz="6" w:color="D7E0DE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NanumBarunGothic" w:hAnsi="NanumBarunGothic" w:eastAsia="NanumBarunGothic"/>
                      <w:b w:val="0"/>
                      <w:i w:val="0"/>
                      <w:color w:val="111827"/>
                      <w:sz w:val="16"/>
                    </w:rPr>
                    <w:t>더 얕음</w:t>
                  </w:r>
                </w:p>
              </w:tc>
              <w:tc>
                <w:tcPr>
                  <w:tcW w:type="dxa" w:w="2232"/>
                  <w:tcMar>
                    <w:top w:w="40" w:type="dxa"/>
                    <w:start w:w="45" w:type="dxa"/>
                    <w:bottom w:w="40" w:type="dxa"/>
                    <w:end w:w="45" w:type="dxa"/>
                  </w:tcMar>
                  <w:vAlign w:val="center"/>
                  <w:tcBorders>
                    <w:left w:val="single" w:sz="6" w:color="D7E0DE"/>
                    <w:top w:val="single" w:sz="6" w:color="D7E0DE"/>
                    <w:right w:val="single" w:sz="6" w:color="D7E0DE"/>
                    <w:bottom w:val="single" w:sz="6" w:color="D7E0DE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NanumBarunGothic" w:hAnsi="NanumBarunGothic" w:eastAsia="NanumBarunGothic"/>
                      <w:b/>
                      <w:i w:val="0"/>
                      <w:color w:val="0F766E"/>
                      <w:sz w:val="15"/>
                    </w:rPr>
                    <w:t>메인은 Hyperliquid</w:t>
                  </w:r>
                </w:p>
              </w:tc>
            </w:tr>
            <w:tr>
              <w:tc>
                <w:tcPr>
                  <w:tcW w:type="dxa" w:w="1656"/>
                  <w:tcMar>
                    <w:top w:w="40" w:type="dxa"/>
                    <w:start w:w="45" w:type="dxa"/>
                    <w:bottom w:w="40" w:type="dxa"/>
                    <w:end w:w="45" w:type="dxa"/>
                  </w:tcMar>
                  <w:vAlign w:val="center"/>
                  <w:tcBorders>
                    <w:left w:val="single" w:sz="6" w:color="D7E0DE"/>
                    <w:top w:val="single" w:sz="6" w:color="D7E0DE"/>
                    <w:right w:val="single" w:sz="6" w:color="D7E0DE"/>
                    <w:bottom w:val="single" w:sz="6" w:color="D7E0DE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NanumBarunGothic" w:hAnsi="NanumBarunGothic" w:eastAsia="NanumBarunGothic"/>
                      <w:b w:val="0"/>
                      <w:i w:val="0"/>
                      <w:color w:val="111827"/>
                      <w:sz w:val="16"/>
                    </w:rPr>
                    <w:t>수수료</w:t>
                  </w:r>
                </w:p>
              </w:tc>
              <w:tc>
                <w:tcPr>
                  <w:tcW w:type="dxa" w:w="2232"/>
                  <w:tcMar>
                    <w:top w:w="40" w:type="dxa"/>
                    <w:start w:w="45" w:type="dxa"/>
                    <w:bottom w:w="40" w:type="dxa"/>
                    <w:end w:w="45" w:type="dxa"/>
                  </w:tcMar>
                  <w:vAlign w:val="center"/>
                  <w:tcBorders>
                    <w:left w:val="single" w:sz="6" w:color="D7E0DE"/>
                    <w:top w:val="single" w:sz="6" w:color="D7E0DE"/>
                    <w:right w:val="single" w:sz="6" w:color="D7E0DE"/>
                    <w:bottom w:val="single" w:sz="6" w:color="D7E0DE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NanumBarunGothic" w:hAnsi="NanumBarunGothic" w:eastAsia="NanumBarunGothic"/>
                      <w:b w:val="0"/>
                      <w:i w:val="0"/>
                      <w:color w:val="111827"/>
                      <w:sz w:val="16"/>
                    </w:rPr>
                    <w:t>볼륨·리베이트 체계</w:t>
                  </w:r>
                </w:p>
              </w:tc>
              <w:tc>
                <w:tcPr>
                  <w:tcW w:type="dxa" w:w="2232"/>
                  <w:tcMar>
                    <w:top w:w="40" w:type="dxa"/>
                    <w:start w:w="45" w:type="dxa"/>
                    <w:bottom w:w="40" w:type="dxa"/>
                    <w:end w:w="45" w:type="dxa"/>
                  </w:tcMar>
                  <w:vAlign w:val="center"/>
                  <w:tcBorders>
                    <w:left w:val="single" w:sz="6" w:color="D7E0DE"/>
                    <w:top w:val="single" w:sz="6" w:color="D7E0DE"/>
                    <w:right w:val="single" w:sz="6" w:color="D7E0DE"/>
                    <w:bottom w:val="single" w:sz="6" w:color="D7E0DE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NanumBarunGothic" w:hAnsi="NanumBarunGothic" w:eastAsia="NanumBarunGothic"/>
                      <w:b w:val="0"/>
                      <w:i w:val="0"/>
                      <w:color w:val="111827"/>
                      <w:sz w:val="16"/>
                    </w:rPr>
                    <w:t>Standard 0/0</w:t>
                  </w:r>
                </w:p>
              </w:tc>
              <w:tc>
                <w:tcPr>
                  <w:tcW w:type="dxa" w:w="2232"/>
                  <w:tcMar>
                    <w:top w:w="40" w:type="dxa"/>
                    <w:start w:w="45" w:type="dxa"/>
                    <w:bottom w:w="40" w:type="dxa"/>
                    <w:end w:w="45" w:type="dxa"/>
                  </w:tcMar>
                  <w:vAlign w:val="center"/>
                  <w:tcBorders>
                    <w:left w:val="single" w:sz="6" w:color="D7E0DE"/>
                    <w:top w:val="single" w:sz="6" w:color="D7E0DE"/>
                    <w:right w:val="single" w:sz="6" w:color="D7E0DE"/>
                    <w:bottom w:val="single" w:sz="6" w:color="D7E0DE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NanumBarunGothic" w:hAnsi="NanumBarunGothic" w:eastAsia="NanumBarunGothic"/>
                      <w:b/>
                      <w:i w:val="0"/>
                      <w:color w:val="0F766E"/>
                      <w:sz w:val="15"/>
                    </w:rPr>
                    <w:t>비용은 Lighter 우세</w:t>
                  </w:r>
                </w:p>
              </w:tc>
            </w:tr>
            <w:tr>
              <w:tc>
                <w:tcPr>
                  <w:tcW w:type="dxa" w:w="1656"/>
                  <w:tcMar>
                    <w:top w:w="40" w:type="dxa"/>
                    <w:start w:w="45" w:type="dxa"/>
                    <w:bottom w:w="40" w:type="dxa"/>
                    <w:end w:w="45" w:type="dxa"/>
                  </w:tcMar>
                  <w:vAlign w:val="center"/>
                  <w:tcBorders>
                    <w:left w:val="single" w:sz="6" w:color="D7E0DE"/>
                    <w:top w:val="single" w:sz="6" w:color="D7E0DE"/>
                    <w:right w:val="single" w:sz="6" w:color="D7E0DE"/>
                    <w:bottom w:val="single" w:sz="6" w:color="D7E0DE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NanumBarunGothic" w:hAnsi="NanumBarunGothic" w:eastAsia="NanumBarunGothic"/>
                      <w:b w:val="0"/>
                      <w:i w:val="0"/>
                      <w:color w:val="111827"/>
                      <w:sz w:val="16"/>
                    </w:rPr>
                    <w:t>API/WS</w:t>
                  </w:r>
                </w:p>
              </w:tc>
              <w:tc>
                <w:tcPr>
                  <w:tcW w:type="dxa" w:w="2232"/>
                  <w:tcMar>
                    <w:top w:w="40" w:type="dxa"/>
                    <w:start w:w="45" w:type="dxa"/>
                    <w:bottom w:w="40" w:type="dxa"/>
                    <w:end w:w="45" w:type="dxa"/>
                  </w:tcMar>
                  <w:vAlign w:val="center"/>
                  <w:tcBorders>
                    <w:left w:val="single" w:sz="6" w:color="D7E0DE"/>
                    <w:top w:val="single" w:sz="6" w:color="D7E0DE"/>
                    <w:right w:val="single" w:sz="6" w:color="D7E0DE"/>
                    <w:bottom w:val="single" w:sz="6" w:color="D7E0DE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NanumBarunGothic" w:hAnsi="NanumBarunGothic" w:eastAsia="NanumBarunGothic"/>
                      <w:b w:val="0"/>
                      <w:i w:val="0"/>
                      <w:color w:val="111827"/>
                      <w:sz w:val="16"/>
                    </w:rPr>
                    <w:t>강력한 info + predictedFundings</w:t>
                  </w:r>
                </w:p>
              </w:tc>
              <w:tc>
                <w:tcPr>
                  <w:tcW w:type="dxa" w:w="2232"/>
                  <w:tcMar>
                    <w:top w:w="40" w:type="dxa"/>
                    <w:start w:w="45" w:type="dxa"/>
                    <w:bottom w:w="40" w:type="dxa"/>
                    <w:end w:w="45" w:type="dxa"/>
                  </w:tcMar>
                  <w:vAlign w:val="center"/>
                  <w:tcBorders>
                    <w:left w:val="single" w:sz="6" w:color="D7E0DE"/>
                    <w:top w:val="single" w:sz="6" w:color="D7E0DE"/>
                    <w:right w:val="single" w:sz="6" w:color="D7E0DE"/>
                    <w:bottom w:val="single" w:sz="6" w:color="D7E0DE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NanumBarunGothic" w:hAnsi="NanumBarunGothic" w:eastAsia="NanumBarunGothic"/>
                      <w:b w:val="0"/>
                      <w:i w:val="0"/>
                      <w:color w:val="111827"/>
                      <w:sz w:val="16"/>
                    </w:rPr>
                    <w:t>50ms book feed + 간단한 key 모델</w:t>
                  </w:r>
                </w:p>
              </w:tc>
              <w:tc>
                <w:tcPr>
                  <w:tcW w:type="dxa" w:w="2232"/>
                  <w:tcMar>
                    <w:top w:w="40" w:type="dxa"/>
                    <w:start w:w="45" w:type="dxa"/>
                    <w:bottom w:w="40" w:type="dxa"/>
                    <w:end w:w="45" w:type="dxa"/>
                  </w:tcMar>
                  <w:vAlign w:val="center"/>
                  <w:tcBorders>
                    <w:left w:val="single" w:sz="6" w:color="D7E0DE"/>
                    <w:top w:val="single" w:sz="6" w:color="D7E0DE"/>
                    <w:right w:val="single" w:sz="6" w:color="D7E0DE"/>
                    <w:bottom w:val="single" w:sz="6" w:color="D7E0DE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NanumBarunGothic" w:hAnsi="NanumBarunGothic" w:eastAsia="NanumBarunGothic"/>
                      <w:b/>
                      <w:i w:val="0"/>
                      <w:color w:val="0F766E"/>
                      <w:sz w:val="15"/>
                    </w:rPr>
                    <w:t>둘 다 사용 가치</w:t>
                  </w:r>
                </w:p>
              </w:tc>
            </w:tr>
            <w:tr>
              <w:tc>
                <w:tcPr>
                  <w:tcW w:type="dxa" w:w="1656"/>
                  <w:tcMar>
                    <w:top w:w="40" w:type="dxa"/>
                    <w:start w:w="45" w:type="dxa"/>
                    <w:bottom w:w="40" w:type="dxa"/>
                    <w:end w:w="45" w:type="dxa"/>
                  </w:tcMar>
                  <w:vAlign w:val="center"/>
                  <w:tcBorders>
                    <w:left w:val="single" w:sz="6" w:color="D7E0DE"/>
                    <w:top w:val="single" w:sz="6" w:color="D7E0DE"/>
                    <w:right w:val="single" w:sz="6" w:color="D7E0DE"/>
                    <w:bottom w:val="single" w:sz="6" w:color="D7E0DE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NanumBarunGothic" w:hAnsi="NanumBarunGothic" w:eastAsia="NanumBarunGothic"/>
                      <w:b w:val="0"/>
                      <w:i w:val="0"/>
                      <w:color w:val="111827"/>
                      <w:sz w:val="16"/>
                    </w:rPr>
                    <w:t>백필</w:t>
                  </w:r>
                </w:p>
              </w:tc>
              <w:tc>
                <w:tcPr>
                  <w:tcW w:type="dxa" w:w="2232"/>
                  <w:tcMar>
                    <w:top w:w="40" w:type="dxa"/>
                    <w:start w:w="45" w:type="dxa"/>
                    <w:bottom w:w="40" w:type="dxa"/>
                    <w:end w:w="45" w:type="dxa"/>
                  </w:tcMar>
                  <w:vAlign w:val="center"/>
                  <w:tcBorders>
                    <w:left w:val="single" w:sz="6" w:color="D7E0DE"/>
                    <w:top w:val="single" w:sz="6" w:color="D7E0DE"/>
                    <w:right w:val="single" w:sz="6" w:color="D7E0DE"/>
                    <w:bottom w:val="single" w:sz="6" w:color="D7E0DE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NanumBarunGothic" w:hAnsi="NanumBarunGothic" w:eastAsia="NanumBarunGothic"/>
                      <w:b w:val="0"/>
                      <w:i w:val="0"/>
                      <w:color w:val="111827"/>
                      <w:sz w:val="16"/>
                    </w:rPr>
                    <w:t>자체 수집 권장</w:t>
                  </w:r>
                </w:p>
              </w:tc>
              <w:tc>
                <w:tcPr>
                  <w:tcW w:type="dxa" w:w="2232"/>
                  <w:tcMar>
                    <w:top w:w="40" w:type="dxa"/>
                    <w:start w:w="45" w:type="dxa"/>
                    <w:bottom w:w="40" w:type="dxa"/>
                    <w:end w:w="45" w:type="dxa"/>
                  </w:tcMar>
                  <w:vAlign w:val="center"/>
                  <w:tcBorders>
                    <w:left w:val="single" w:sz="6" w:color="D7E0DE"/>
                    <w:top w:val="single" w:sz="6" w:color="D7E0DE"/>
                    <w:right w:val="single" w:sz="6" w:color="D7E0DE"/>
                    <w:bottom w:val="single" w:sz="6" w:color="D7E0DE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NanumBarunGothic" w:hAnsi="NanumBarunGothic" w:eastAsia="NanumBarunGothic"/>
                      <w:b w:val="0"/>
                      <w:i w:val="0"/>
                      <w:color w:val="111827"/>
                      <w:sz w:val="16"/>
                    </w:rPr>
                    <w:t>candles/export가 편함</w:t>
                  </w:r>
                </w:p>
              </w:tc>
              <w:tc>
                <w:tcPr>
                  <w:tcW w:type="dxa" w:w="2232"/>
                  <w:tcMar>
                    <w:top w:w="40" w:type="dxa"/>
                    <w:start w:w="45" w:type="dxa"/>
                    <w:bottom w:w="40" w:type="dxa"/>
                    <w:end w:w="45" w:type="dxa"/>
                  </w:tcMar>
                  <w:vAlign w:val="center"/>
                  <w:tcBorders>
                    <w:left w:val="single" w:sz="6" w:color="D7E0DE"/>
                    <w:top w:val="single" w:sz="6" w:color="D7E0DE"/>
                    <w:right w:val="single" w:sz="6" w:color="D7E0DE"/>
                    <w:bottom w:val="single" w:sz="6" w:color="D7E0DE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NanumBarunGothic" w:hAnsi="NanumBarunGothic" w:eastAsia="NanumBarunGothic"/>
                      <w:b/>
                      <w:i w:val="0"/>
                      <w:color w:val="0F766E"/>
                      <w:sz w:val="15"/>
                    </w:rPr>
                    <w:t>리서치는 Lighter 보조</w:t>
                  </w:r>
                </w:p>
              </w:tc>
            </w:tr>
          </w:tbl>
          <w:p/>
          <w:p/>
        </w:tc>
        <w:tc>
          <w:tcPr>
            <w:tcW w:type="dxa" w:w="7229"/>
            <w:vAlign w:val="top"/>
            <w:shd w:fill="FFF9F9" w:val="clear"/>
            <w:tcBorders>
              <w:top w:val="single" w:sz="8" w:color="D9E6E3"/>
              <w:bottom w:val="single" w:sz="8" w:color="D9E6E3"/>
              <w:left w:val="single" w:sz="8" w:color="D9E6E3"/>
              <w:right w:val="single" w:sz="8" w:color="D9E6E3"/>
            </w:tcBorders>
            <w:tcMar>
              <w:top w:w="8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20" w:line="252" w:lineRule="auto"/>
            </w:pPr>
            <w:r>
              <w:rPr>
                <w:rFonts w:ascii="NanumBarunGothic" w:hAnsi="NanumBarunGothic" w:eastAsia="NanumBarunGothic"/>
                <w:b/>
                <w:i w:val="0"/>
                <w:color w:val="0F766E"/>
                <w:sz w:val="21"/>
              </w:rPr>
              <w:t>6. 반드시 넣을 차단 규칙</w:t>
            </w:r>
          </w:p>
          <w:p>
            <w:pPr>
              <w:spacing w:before="0" w:after="20" w:line="240" w:lineRule="auto"/>
            </w:pPr>
            <w:r>
              <w:rPr>
                <w:rFonts w:ascii="NanumBarunGothic" w:hAnsi="NanumBarunGothic" w:eastAsia="NanumBarunGothic"/>
                <w:b/>
                <w:i w:val="0"/>
                <w:color w:val="B91C1C"/>
                <w:sz w:val="17"/>
              </w:rPr>
              <w:t>이 규칙이 없으면 보수형 전략이 아닙니다.</w:t>
            </w:r>
          </w:p>
          <w:p>
            <w:pPr>
              <w:pStyle w:val="ListBullet"/>
              <w:spacing w:before="0" w:after="0" w:line="245" w:lineRule="auto"/>
              <w:ind w:left="113"/>
            </w:pPr>
            <w:r>
              <w:rPr>
                <w:rFonts w:ascii="NanumBarunGothic" w:hAnsi="NanumBarunGothic" w:eastAsia="NanumBarunGothic"/>
                <w:b w:val="0"/>
                <w:i w:val="0"/>
                <w:color w:val="374151"/>
                <w:sz w:val="16"/>
              </w:rPr>
              <w:t>한쪽 주문만 체결되고 반대 leg가 10초 안에 안 잡히면 즉시 unwind</w:t>
            </w:r>
          </w:p>
          <w:p>
            <w:pPr>
              <w:pStyle w:val="ListBullet"/>
              <w:spacing w:before="0" w:after="0" w:line="245" w:lineRule="auto"/>
              <w:ind w:left="113"/>
            </w:pPr>
            <w:r>
              <w:rPr>
                <w:rFonts w:ascii="NanumBarunGothic" w:hAnsi="NanumBarunGothic" w:eastAsia="NanumBarunGothic"/>
                <w:b w:val="0"/>
                <w:i w:val="0"/>
                <w:color w:val="374151"/>
                <w:sz w:val="16"/>
              </w:rPr>
              <w:t>웹소켓 gap, nonce 오류, API 지연 급증 시 신규 진입 금지</w:t>
            </w:r>
          </w:p>
          <w:p>
            <w:pPr>
              <w:pStyle w:val="ListBullet"/>
              <w:spacing w:before="0" w:after="0" w:line="245" w:lineRule="auto"/>
              <w:ind w:left="113"/>
            </w:pPr>
            <w:r>
              <w:rPr>
                <w:rFonts w:ascii="NanumBarunGothic" w:hAnsi="NanumBarunGothic" w:eastAsia="NanumBarunGothic"/>
                <w:b w:val="0"/>
                <w:i w:val="0"/>
                <w:color w:val="374151"/>
                <w:sz w:val="16"/>
              </w:rPr>
              <w:t>예상 funding edge가 안전버퍼 아래로 내려오면 추가 진입 금지</w:t>
            </w:r>
          </w:p>
          <w:p>
            <w:pPr>
              <w:pStyle w:val="ListBullet"/>
              <w:spacing w:before="0" w:after="0" w:line="245" w:lineRule="auto"/>
              <w:ind w:left="113"/>
            </w:pPr>
            <w:r>
              <w:rPr>
                <w:rFonts w:ascii="NanumBarunGothic" w:hAnsi="NanumBarunGothic" w:eastAsia="NanumBarunGothic"/>
                <w:b w:val="0"/>
                <w:i w:val="0"/>
                <w:color w:val="374151"/>
                <w:sz w:val="16"/>
              </w:rPr>
              <w:t>시장별 최대 자본 25%, venue별 최대 자본 40%, 일일 손실 한도 0.75%</w:t>
            </w:r>
          </w:p>
          <w:p>
            <w:pPr>
              <w:pStyle w:val="ListBullet"/>
              <w:spacing w:before="0" w:after="0" w:line="245" w:lineRule="auto"/>
              <w:ind w:left="113"/>
            </w:pPr>
            <w:r>
              <w:rPr>
                <w:rFonts w:ascii="NanumBarunGothic" w:hAnsi="NanumBarunGothic" w:eastAsia="NanumBarunGothic"/>
                <w:b w:val="0"/>
                <w:i w:val="0"/>
                <w:color w:val="374151"/>
                <w:sz w:val="16"/>
              </w:rPr>
              <w:t>장애 복구 전에는 reduce-only 외 신규 주문 금지</w:t>
            </w:r>
          </w:p>
        </w:tc>
      </w:tr>
    </w:tbl>
    <w:p>
      <w:pPr>
        <w:spacing w:before="40" w:after="0" w:line="240" w:lineRule="auto"/>
      </w:pPr>
      <w:r>
        <w:rPr>
          <w:rFonts w:ascii="NanumBarunGothic" w:hAnsi="NanumBarunGothic" w:eastAsia="NanumBarunGothic"/>
          <w:b w:val="0"/>
          <w:i w:val="0"/>
          <w:color w:val="6B7280"/>
          <w:sz w:val="15"/>
        </w:rPr>
        <w:t>출처 스냅샷: 2026-03-11 기준 Hyperliquid 공식 문서, Lighter 공식 문서, DefiLlama. 수치는 변할 수 있습니다.</w:t>
      </w:r>
    </w:p>
    <w:sectPr w:rsidR="00FC693F" w:rsidRPr="0006063C" w:rsidSect="00034616">
      <w:pgSz w:w="15840" w:h="12240" w:orient="landscape"/>
      <w:pgMar w:top="605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BarunGothic" w:hAnsi="NanumBarunGothic" w:eastAsia="NanumBarun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BarunGothic" w:hAnsi="NanumBarunGothic" w:eastAsia="NanumBarun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