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0F6E56"/>
          <w:sz w:val="72"/>
          <w:szCs w:val="72"/>
        </w:rPr>
        <w:t xml:space="preserve">SENTINELLE</w:t>
      </w:r>
    </w:p>
    <w:p>
      <w:pPr>
        <w:spacing w:after="40" w:before="0"/>
        <w:jc w:val="center"/>
      </w:pPr>
      <w:r>
        <w:rPr>
          <w:rFonts w:ascii="Arial" w:cs="Arial" w:eastAsia="Arial" w:hAnsi="Arial"/>
          <w:color w:val="888888"/>
          <w:sz w:val="28"/>
          <w:szCs w:val="28"/>
        </w:rPr>
        <w:t xml:space="preserve">Cahier des charges — MVP v1.1</w:t>
      </w:r>
    </w:p>
    <w:p>
      <w:pPr>
        <w:spacing w:after="0" w:before="0"/>
        <w:jc w:val="center"/>
      </w:pPr>
      <w:r>
        <w:rPr>
          <w:rFonts w:ascii="Arial" w:cs="Arial" w:eastAsia="Arial" w:hAnsi="Arial"/>
          <w:i/>
          <w:iCs/>
          <w:color w:val="555555"/>
          <w:sz w:val="24"/>
          <w:szCs w:val="24"/>
        </w:rPr>
        <w:t xml:space="preserve">Protection des séniors contre les arnaques numériques</w:t>
      </w:r>
    </w:p>
    <w:p>
      <w:pPr>
        <w:spacing w:after="0" w:before="2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666666"/>
                <w:sz w:val="20"/>
                <w:szCs w:val="20"/>
              </w:rPr>
              <w:t xml:space="preserve">Produit :</w:t>
            </w:r>
          </w:p>
        </w:tc>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Sentinelle SaaS</w:t>
            </w:r>
          </w:p>
        </w:tc>
      </w:tr>
      <w:tr>
        <w:tc>
          <w:tcPr>
            <w:tcW w:type="dxa" w:w="25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666666"/>
                <w:sz w:val="20"/>
                <w:szCs w:val="20"/>
              </w:rPr>
              <w:t xml:space="preserve">Version CDC :</w:t>
            </w:r>
          </w:p>
        </w:tc>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MVP v1.1 — Stack mise à jour</w:t>
            </w:r>
          </w:p>
        </w:tc>
      </w:tr>
      <w:tr>
        <w:tc>
          <w:tcPr>
            <w:tcW w:type="dxa" w:w="25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666666"/>
                <w:sz w:val="20"/>
                <w:szCs w:val="20"/>
              </w:rPr>
              <w:t xml:space="preserve">Date :</w:t>
            </w:r>
          </w:p>
        </w:tc>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Mai 2026</w:t>
            </w:r>
          </w:p>
        </w:tc>
      </w:tr>
      <w:tr>
        <w:tc>
          <w:tcPr>
            <w:tcW w:type="dxa" w:w="25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666666"/>
                <w:sz w:val="20"/>
                <w:szCs w:val="20"/>
              </w:rPr>
              <w:t xml:space="preserve">Frontend :</w:t>
            </w:r>
          </w:p>
        </w:tc>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Nuxt 3 — déployé sur Vercel</w:t>
            </w:r>
          </w:p>
        </w:tc>
      </w:tr>
      <w:tr>
        <w:tc>
          <w:tcPr>
            <w:tcW w:type="dxa" w:w="25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666666"/>
                <w:sz w:val="20"/>
                <w:szCs w:val="20"/>
              </w:rPr>
              <w:t xml:space="preserve">Backend :</w:t>
            </w:r>
          </w:p>
        </w:tc>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Adonis 6 — déployé sur VPS Hetzner</w:t>
            </w:r>
          </w:p>
        </w:tc>
      </w:tr>
      <w:tr>
        <w:tc>
          <w:tcPr>
            <w:tcW w:type="dxa" w:w="25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666666"/>
                <w:sz w:val="20"/>
                <w:szCs w:val="20"/>
              </w:rPr>
              <w:t xml:space="preserve">Base de données :</w:t>
            </w:r>
          </w:p>
        </w:tc>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PostgreSQL — sur VPS Hetzner</w:t>
            </w:r>
          </w:p>
        </w:tc>
      </w:tr>
      <w:tr>
        <w:tc>
          <w:tcPr>
            <w:tcW w:type="dxa" w:w="25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666666"/>
                <w:sz w:val="20"/>
                <w:szCs w:val="20"/>
              </w:rPr>
              <w:t xml:space="preserve">ORM :</w:t>
            </w:r>
          </w:p>
        </w:tc>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Lucid ORM (natif Adonis)</w:t>
            </w:r>
          </w:p>
        </w:tc>
      </w:tr>
    </w:tbl>
    <w:p>
      <w:pPr>
        <w:spacing w:after="0" w:before="400"/>
      </w:pPr>
      <w:r>
        <w:t xml:space="preserve"/>
      </w:r>
    </w:p>
    <w:p>
      <w:r>
        <w:br w:type="page"/>
      </w:r>
    </w:p>
    <w:p>
      <w:pPr>
        <w:pStyle w:val="Heading1"/>
        <w:spacing w:after="160" w:before="400"/>
      </w:pPr>
      <w:r>
        <w:rPr>
          <w:rFonts w:ascii="Arial" w:cs="Arial" w:eastAsia="Arial" w:hAnsi="Arial"/>
          <w:b/>
          <w:bCs/>
          <w:color w:val="0F6E56"/>
          <w:sz w:val="36"/>
          <w:szCs w:val="36"/>
        </w:rPr>
        <w:t xml:space="preserve">1. Contexte et vision produit</w:t>
      </w:r>
    </w:p>
    <w:p>
      <w:pPr>
        <w:pStyle w:val="Heading2"/>
        <w:spacing w:after="120" w:before="300"/>
      </w:pPr>
      <w:r>
        <w:rPr>
          <w:rFonts w:ascii="Arial" w:cs="Arial" w:eastAsia="Arial" w:hAnsi="Arial"/>
          <w:b/>
          <w:bCs/>
          <w:color w:val="1A1A1A"/>
          <w:sz w:val="28"/>
          <w:szCs w:val="28"/>
        </w:rPr>
        <w:t xml:space="preserve">1.1 Le problème</w:t>
      </w:r>
    </w:p>
    <w:p>
      <w:pPr>
        <w:spacing w:after="80" w:before="80"/>
      </w:pPr>
      <w:r>
        <w:rPr>
          <w:rFonts w:ascii="Arial" w:cs="Arial" w:eastAsia="Arial" w:hAnsi="Arial"/>
          <w:color w:val="1A1A1A"/>
          <w:sz w:val="22"/>
          <w:szCs w:val="22"/>
        </w:rPr>
        <w:t xml:space="preserve">En France, 800 000 seniors de plus de 75 ans sont victimes d’escroqueries chaque année. Les fraudes numériques ont bondi de 64 % depuis 2016. En 2025, les arnaques par email exploitées grâce à l’IA (phishing parfait, voix clonée, usurpation d’identité) sont devenues indistinguables des communications légitimes pour une personne âgée.</w:t>
      </w:r>
    </w:p>
    <w:p>
      <w:pPr>
        <w:spacing w:after="0" w:before="80"/>
      </w:pPr>
      <w:r>
        <w:t xml:space="preserve"/>
      </w:r>
    </w:p>
    <w:p>
      <w:pPr>
        <w:spacing w:after="80" w:before="80"/>
      </w:pPr>
      <w:r>
        <w:rPr>
          <w:rFonts w:ascii="Arial" w:cs="Arial" w:eastAsia="Arial" w:hAnsi="Arial"/>
          <w:color w:val="1A1A1A"/>
          <w:sz w:val="22"/>
          <w:szCs w:val="22"/>
        </w:rPr>
        <w:t xml:space="preserve">Les enfants et aidants familiaux ne peuvent pas surveiller en permanence les boîtes mail de leurs parents. Le senior, souvent isolé et peu familier avec les codes numériques, n’a aucun filet de sécurité actif.</w:t>
      </w:r>
    </w:p>
    <w:p>
      <w:pPr>
        <w:spacing w:after="0" w:before="80"/>
      </w:pPr>
      <w:r>
        <w:t xml:space="preserve"/>
      </w:r>
    </w:p>
    <w:p>
      <w:pPr>
        <w:pStyle w:val="Heading2"/>
        <w:spacing w:after="120" w:before="300"/>
      </w:pPr>
      <w:r>
        <w:rPr>
          <w:rFonts w:ascii="Arial" w:cs="Arial" w:eastAsia="Arial" w:hAnsi="Arial"/>
          <w:b/>
          <w:bCs/>
          <w:color w:val="1A1A1A"/>
          <w:sz w:val="28"/>
          <w:szCs w:val="28"/>
        </w:rPr>
        <w:t xml:space="preserve">1.2 La vision Sentinelle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after="0" w:before="0"/>
            </w:pPr>
            <w:r>
              <w:rPr>
                <w:rFonts w:ascii="Arial" w:cs="Arial" w:eastAsia="Arial" w:hAnsi="Arial"/>
                <w:b w:val="false"/>
                <w:bCs w:val="false"/>
                <w:color w:val="085041"/>
                <w:sz w:val="22"/>
                <w:szCs w:val="22"/>
              </w:rPr>
              <w:t xml:space="preserve">Sentinelle est une sentinelle silencieuse qui analyse en temps réel les emails entrants d’un senior, évalue leur niveau de risque grâce à l’IA, et alerte l’enfant aidant avant que le senior n’agisse. Le senior ne voit rien changer. L’enfant a la paix de l’esprit.</w:t>
            </w:r>
          </w:p>
        </w:tc>
      </w:tr>
    </w:tbl>
    <w:p>
      <w:pPr>
        <w:spacing w:after="0" w:before="120"/>
      </w:pPr>
      <w:r>
        <w:t xml:space="preserve"/>
      </w:r>
    </w:p>
    <w:p>
      <w:pPr>
        <w:pStyle w:val="Heading2"/>
        <w:spacing w:after="120" w:before="300"/>
      </w:pPr>
      <w:r>
        <w:rPr>
          <w:rFonts w:ascii="Arial" w:cs="Arial" w:eastAsia="Arial" w:hAnsi="Arial"/>
          <w:b/>
          <w:bCs/>
          <w:color w:val="1A1A1A"/>
          <w:sz w:val="28"/>
          <w:szCs w:val="28"/>
        </w:rPr>
        <w:t xml:space="preserve">1.3 Positionnement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Cible principale</w:t>
            </w:r>
          </w:p>
        </w:tc>
        <w:tc>
          <w:tcPr>
            <w:tcW w:type="dxa" w:w="6860"/>
            <w:tcBorders>
              <w:top w:val="none" w:color="FFFFFF" w:sz="0"/>
              <w:left w:val="none" w:color="FFFFFF" w:sz="0"/>
              <w:bottom w:val="none" w:color="FFFFFF" w:sz="0"/>
              <w:right w:val="none" w:color="FFFFFF" w:sz="0"/>
            </w:tcBorders>
            <w:shd w:fill="FAFAF9" w:val="clear"/>
            <w:tcMar>
              <w:top w:type="dxa" w:w="80"/>
              <w:left w:type="dxa" w:w="120"/>
              <w:bottom w:type="dxa" w:w="80"/>
              <w:right w:type="dxa" w:w="120"/>
            </w:tcMar>
          </w:tcPr>
          <w:p>
            <w:r>
              <w:rPr>
                <w:rFonts w:ascii="Arial" w:cs="Arial" w:eastAsia="Arial" w:hAnsi="Arial"/>
                <w:color w:val="1A1A1A"/>
                <w:sz w:val="20"/>
                <w:szCs w:val="20"/>
              </w:rPr>
              <w:t xml:space="preserve">L’enfant adulte (35-55 ans) qui a des parents âgés seuls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Cible secondaire</w:t>
            </w:r>
          </w:p>
        </w:tc>
        <w:tc>
          <w:tcPr>
            <w:tcW w:type="dxa" w:w="6860"/>
            <w:tcBorders>
              <w:top w:val="none" w:color="FFFFFF" w:sz="0"/>
              <w:left w:val="none" w:color="FFFFFF" w:sz="0"/>
              <w:bottom w:val="none" w:color="FFFFFF" w:sz="0"/>
              <w:right w:val="none" w:color="FFFFFF" w:sz="0"/>
            </w:tcBorders>
            <w:shd w:fill="FAFAF9" w:val="clear"/>
            <w:tcMar>
              <w:top w:type="dxa" w:w="80"/>
              <w:left w:type="dxa" w:w="120"/>
              <w:bottom w:type="dxa" w:w="80"/>
              <w:right w:type="dxa" w:w="120"/>
            </w:tcMar>
          </w:tcPr>
          <w:p>
            <w:r>
              <w:rPr>
                <w:rFonts w:ascii="Arial" w:cs="Arial" w:eastAsia="Arial" w:hAnsi="Arial"/>
                <w:color w:val="1A1A1A"/>
                <w:sz w:val="20"/>
                <w:szCs w:val="20"/>
              </w:rPr>
              <w:t xml:space="preserve">Le senior lui-même, via un guide d’installation simplifié</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Canal MVP</w:t>
            </w:r>
          </w:p>
        </w:tc>
        <w:tc>
          <w:tcPr>
            <w:tcW w:type="dxa" w:w="6860"/>
            <w:tcBorders>
              <w:top w:val="none" w:color="FFFFFF" w:sz="0"/>
              <w:left w:val="none" w:color="FFFFFF" w:sz="0"/>
              <w:bottom w:val="none" w:color="FFFFFF" w:sz="0"/>
              <w:right w:val="none" w:color="FFFFFF" w:sz="0"/>
            </w:tcBorders>
            <w:shd w:fill="FAFAF9" w:val="clear"/>
            <w:tcMar>
              <w:top w:type="dxa" w:w="80"/>
              <w:left w:type="dxa" w:w="120"/>
              <w:bottom w:type="dxa" w:w="80"/>
              <w:right w:type="dxa" w:w="120"/>
            </w:tcMar>
          </w:tcPr>
          <w:p>
            <w:r>
              <w:rPr>
                <w:rFonts w:ascii="Arial" w:cs="Arial" w:eastAsia="Arial" w:hAnsi="Arial"/>
                <w:color w:val="1A1A1A"/>
                <w:sz w:val="20"/>
                <w:szCs w:val="20"/>
              </w:rPr>
              <w:t xml:space="preserve">Analyse des emails Gmail uniquement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Modèle économique</w:t>
            </w:r>
          </w:p>
        </w:tc>
        <w:tc>
          <w:tcPr>
            <w:tcW w:type="dxa" w:w="6860"/>
            <w:tcBorders>
              <w:top w:val="none" w:color="FFFFFF" w:sz="0"/>
              <w:left w:val="none" w:color="FFFFFF" w:sz="0"/>
              <w:bottom w:val="none" w:color="FFFFFF" w:sz="0"/>
              <w:right w:val="none" w:color="FFFFFF" w:sz="0"/>
            </w:tcBorders>
            <w:shd w:fill="FAFAF9" w:val="clear"/>
            <w:tcMar>
              <w:top w:type="dxa" w:w="80"/>
              <w:left w:type="dxa" w:w="120"/>
              <w:bottom w:type="dxa" w:w="80"/>
              <w:right w:type="dxa" w:w="120"/>
            </w:tcMar>
          </w:tcPr>
          <w:p>
            <w:r>
              <w:rPr>
                <w:rFonts w:ascii="Arial" w:cs="Arial" w:eastAsia="Arial" w:hAnsi="Arial"/>
                <w:color w:val="1A1A1A"/>
                <w:sz w:val="20"/>
                <w:szCs w:val="20"/>
              </w:rPr>
              <w:t xml:space="preserve">Abonnement mensuel par adresse email surveillée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Proposition de valeur</w:t>
            </w:r>
          </w:p>
        </w:tc>
        <w:tc>
          <w:tcPr>
            <w:tcW w:type="dxa" w:w="6860"/>
            <w:tcBorders>
              <w:top w:val="none" w:color="FFFFFF" w:sz="0"/>
              <w:left w:val="none" w:color="FFFFFF" w:sz="0"/>
              <w:bottom w:val="none" w:color="FFFFFF" w:sz="0"/>
              <w:right w:val="none" w:color="FFFFFF" w:sz="0"/>
            </w:tcBorders>
            <w:shd w:fill="FAFAF9" w:val="clear"/>
            <w:tcMar>
              <w:top w:type="dxa" w:w="80"/>
              <w:left w:type="dxa" w:w="120"/>
              <w:bottom w:type="dxa" w:w="80"/>
              <w:right w:type="dxa" w:w="120"/>
            </w:tcMar>
          </w:tcPr>
          <w:p>
            <w:r>
              <w:rPr>
                <w:rFonts w:ascii="Arial" w:cs="Arial" w:eastAsia="Arial" w:hAnsi="Arial"/>
                <w:color w:val="1A1A1A"/>
                <w:sz w:val="20"/>
                <w:szCs w:val="20"/>
              </w:rPr>
              <w:t xml:space="preserve">« Je sais en temps réel si maman reçoit une arnaque »</w:t>
            </w:r>
          </w:p>
        </w:tc>
      </w:tr>
    </w:tbl>
    <w:p>
      <w:pPr>
        <w:pBdr>
          <w:bottom w:val="single" w:color="DDDDDD" w:sz="4"/>
        </w:pBdr>
        <w:spacing w:after="200" w:before="200"/>
      </w:pPr>
      <w:r>
        <w:t xml:space="preserve"/>
      </w:r>
    </w:p>
    <w:p>
      <w:pPr>
        <w:pStyle w:val="Heading1"/>
        <w:spacing w:after="160" w:before="400"/>
      </w:pPr>
      <w:r>
        <w:rPr>
          <w:rFonts w:ascii="Arial" w:cs="Arial" w:eastAsia="Arial" w:hAnsi="Arial"/>
          <w:b/>
          <w:bCs/>
          <w:color w:val="0F6E56"/>
          <w:sz w:val="36"/>
          <w:szCs w:val="36"/>
        </w:rPr>
        <w:t xml:space="preserve">2. Architecture technique</w:t>
      </w:r>
    </w:p>
    <w:p>
      <w:pPr>
        <w:pStyle w:val="Heading2"/>
        <w:spacing w:after="120" w:before="300"/>
      </w:pPr>
      <w:r>
        <w:rPr>
          <w:rFonts w:ascii="Arial" w:cs="Arial" w:eastAsia="Arial" w:hAnsi="Arial"/>
          <w:b/>
          <w:bCs/>
          <w:color w:val="1A1A1A"/>
          <w:sz w:val="28"/>
          <w:szCs w:val="28"/>
        </w:rPr>
        <w:t xml:space="preserve">2.1 Vue d’ensemble de la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160"/>
              <w:left w:type="dxa" w:w="200"/>
              <w:bottom w:type="dxa" w:w="160"/>
              <w:right w:type="dxa" w:w="200"/>
            </w:tcMar>
          </w:tcPr>
          <w:p>
            <w:pPr>
              <w:spacing w:after="0" w:before="0"/>
            </w:pPr>
            <w:r>
              <w:rPr>
                <w:rFonts w:ascii="Arial" w:cs="Arial" w:eastAsia="Arial" w:hAnsi="Arial"/>
                <w:b w:val="false"/>
                <w:bCs w:val="false"/>
                <w:color w:val="1A1A1A"/>
                <w:sz w:val="22"/>
                <w:szCs w:val="22"/>
              </w:rPr>
              <w:t xml:space="preserve">Nuxt 3 (Vercel) ←→ API REST → Adonis 6 (Hetzner) ←→ PostgreSQL (Hetzner) + Gmail API + API Anthropic Claude + Stripe + Resend</w:t>
            </w:r>
          </w:p>
        </w:tc>
      </w:tr>
    </w:tbl>
    <w:p>
      <w:pPr>
        <w:spacing w:after="0" w:before="160"/>
      </w:pPr>
      <w:r>
        <w:t xml:space="preserve"/>
      </w:r>
    </w:p>
    <w:p>
      <w:pPr>
        <w:pStyle w:val="Heading2"/>
        <w:spacing w:after="120" w:before="300"/>
      </w:pPr>
      <w:r>
        <w:rPr>
          <w:rFonts w:ascii="Arial" w:cs="Arial" w:eastAsia="Arial" w:hAnsi="Arial"/>
          <w:b/>
          <w:bCs/>
          <w:color w:val="1A1A1A"/>
          <w:sz w:val="28"/>
          <w:szCs w:val="28"/>
        </w:rPr>
        <w:t xml:space="preserve">2.2 Choix et justification de la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0F6E56" w:val="clear"/>
            <w:tcMar>
              <w:top w:type="dxa" w:w="100"/>
              <w:left w:type="dxa" w:w="100"/>
              <w:bottom w:type="dxa" w:w="100"/>
              <w:right w:type="dxa" w:w="100"/>
            </w:tcMar>
          </w:tcPr>
          <w:p>
            <w:r>
              <w:rPr>
                <w:rFonts w:ascii="Arial" w:cs="Arial" w:eastAsia="Arial" w:hAnsi="Arial"/>
                <w:b/>
                <w:bCs/>
                <w:color w:val="FFFFFF"/>
                <w:sz w:val="20"/>
                <w:szCs w:val="20"/>
              </w:rPr>
              <w:t xml:space="preserve">Brique</w:t>
            </w:r>
          </w:p>
        </w:tc>
        <w:tc>
          <w:tcPr>
            <w:tcW w:type="dxa" w:w="2500"/>
            <w:tcBorders>
              <w:top w:val="single" w:color="CCCCCC" w:sz="1"/>
              <w:left w:val="single" w:color="CCCCCC" w:sz="1"/>
              <w:bottom w:val="single" w:color="CCCCCC" w:sz="1"/>
              <w:right w:val="single" w:color="CCCCCC" w:sz="1"/>
            </w:tcBorders>
            <w:shd w:fill="0F6E56" w:val="clear"/>
            <w:tcMar>
              <w:top w:type="dxa" w:w="100"/>
              <w:left w:type="dxa" w:w="100"/>
              <w:bottom w:type="dxa" w:w="100"/>
              <w:right w:type="dxa" w:w="100"/>
            </w:tcMar>
          </w:tcPr>
          <w:p>
            <w:r>
              <w:rPr>
                <w:rFonts w:ascii="Arial" w:cs="Arial" w:eastAsia="Arial" w:hAnsi="Arial"/>
                <w:b/>
                <w:bCs/>
                <w:color w:val="FFFFFF"/>
                <w:sz w:val="20"/>
                <w:szCs w:val="20"/>
              </w:rPr>
              <w:t xml:space="preserve">Technologie</w:t>
            </w:r>
          </w:p>
        </w:tc>
        <w:tc>
          <w:tcPr>
            <w:tcW w:type="dxa" w:w="4860"/>
            <w:tcBorders>
              <w:top w:val="single" w:color="CCCCCC" w:sz="1"/>
              <w:left w:val="single" w:color="CCCCCC" w:sz="1"/>
              <w:bottom w:val="single" w:color="CCCCCC" w:sz="1"/>
              <w:right w:val="single" w:color="CCCCCC" w:sz="1"/>
            </w:tcBorders>
            <w:shd w:fill="0F6E56" w:val="clear"/>
            <w:tcMar>
              <w:top w:type="dxa" w:w="100"/>
              <w:left w:type="dxa" w:w="100"/>
              <w:bottom w:type="dxa" w:w="100"/>
              <w:right w:type="dxa" w:w="100"/>
            </w:tcMa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F6E56"/>
                <w:sz w:val="20"/>
                <w:szCs w:val="20"/>
              </w:rPr>
              <w:t xml:space="preserve">Frontend</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A1A1A"/>
                <w:sz w:val="20"/>
                <w:szCs w:val="20"/>
              </w:rPr>
              <w:t xml:space="preserve">Nuxt 3 + Tailwind CSS</w:t>
            </w:r>
          </w:p>
        </w:tc>
        <w:tc>
          <w:tcPr>
            <w:tcW w:type="dxa" w:w="4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20"/>
                <w:szCs w:val="20"/>
              </w:rPr>
              <w:t xml:space="preserve">SSR + SSG, Vue 3 natif, déploiement Vercel sans config, écosystème riche</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F6E56"/>
                <w:sz w:val="20"/>
                <w:szCs w:val="20"/>
              </w:rPr>
              <w:t xml:space="preserve">Hébergement frontend</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A1A1A"/>
                <w:sz w:val="20"/>
                <w:szCs w:val="20"/>
              </w:rPr>
              <w:t xml:space="preserve">Vercel</w:t>
            </w:r>
          </w:p>
        </w:tc>
        <w:tc>
          <w:tcPr>
            <w:tcW w:type="dxa" w:w="4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20"/>
                <w:szCs w:val="20"/>
              </w:rPr>
              <w:t xml:space="preserve">CDN mondial, déploiement auto sur push git, HTTPS automatique</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F6E56"/>
                <w:sz w:val="20"/>
                <w:szCs w:val="20"/>
              </w:rPr>
              <w:t xml:space="preserve">Backend API</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A1A1A"/>
                <w:sz w:val="20"/>
                <w:szCs w:val="20"/>
              </w:rPr>
              <w:t xml:space="preserve">Adonis 6 (Node.js)</w:t>
            </w:r>
          </w:p>
        </w:tc>
        <w:tc>
          <w:tcPr>
            <w:tcW w:type="dxa" w:w="4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20"/>
                <w:szCs w:val="20"/>
              </w:rPr>
              <w:t xml:space="preserve">Framework MVC complet, auth intégrée, ORM Lucid, jobs/queues natifs</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F6E56"/>
                <w:sz w:val="20"/>
                <w:szCs w:val="20"/>
              </w:rPr>
              <w:t xml:space="preserve">Hébergement backend</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A1A1A"/>
                <w:sz w:val="20"/>
                <w:szCs w:val="20"/>
              </w:rPr>
              <w:t xml:space="preserve">VPS Hetzner</w:t>
            </w:r>
          </w:p>
        </w:tc>
        <w:tc>
          <w:tcPr>
            <w:tcW w:type="dxa" w:w="4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20"/>
                <w:szCs w:val="20"/>
              </w:rPr>
              <w:t xml:space="preserve">Contrôle total, coût fixe maîtrisé, même serveur que Tunelab</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F6E56"/>
                <w:sz w:val="20"/>
                <w:szCs w:val="20"/>
              </w:rPr>
              <w:t xml:space="preserve">Base de données</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A1A1A"/>
                <w:sz w:val="20"/>
                <w:szCs w:val="20"/>
              </w:rPr>
              <w:t xml:space="preserve">PostgreSQL (Hetzner)</w:t>
            </w:r>
          </w:p>
        </w:tc>
        <w:tc>
          <w:tcPr>
            <w:tcW w:type="dxa" w:w="4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20"/>
                <w:szCs w:val="20"/>
              </w:rPr>
              <w:t xml:space="preserve">Sur le même VPS, zéro latence avec Adonis, Lucid ORM natif</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F6E56"/>
                <w:sz w:val="20"/>
                <w:szCs w:val="20"/>
              </w:rPr>
              <w:t xml:space="preserve">ORM</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A1A1A"/>
                <w:sz w:val="20"/>
                <w:szCs w:val="20"/>
              </w:rPr>
              <w:t xml:space="preserve">Lucid ORM</w:t>
            </w:r>
          </w:p>
        </w:tc>
        <w:tc>
          <w:tcPr>
            <w:tcW w:type="dxa" w:w="4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20"/>
                <w:szCs w:val="20"/>
              </w:rPr>
              <w:t xml:space="preserve">Migrations Adonis, modèles typisés, relations fluides</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F6E56"/>
                <w:sz w:val="20"/>
                <w:szCs w:val="20"/>
              </w:rPr>
              <w:t xml:space="preserve">Workers</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A1A1A"/>
                <w:sz w:val="20"/>
                <w:szCs w:val="20"/>
              </w:rPr>
              <w:t xml:space="preserve">Adonis Jobs (Bouncer)</w:t>
            </w:r>
          </w:p>
        </w:tc>
        <w:tc>
          <w:tcPr>
            <w:tcW w:type="dxa" w:w="4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20"/>
                <w:szCs w:val="20"/>
              </w:rPr>
              <w:t xml:space="preserve">Jobs asynchrones natifs Adonis pour le polling Gmail</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F6E56"/>
                <w:sz w:val="20"/>
                <w:szCs w:val="20"/>
              </w:rPr>
              <w:t xml:space="preserve">Gmail accès</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A1A1A"/>
                <w:sz w:val="20"/>
                <w:szCs w:val="20"/>
              </w:rPr>
              <w:t xml:space="preserve">Google OAuth 2.0 + Gmail API v1</w:t>
            </w:r>
          </w:p>
        </w:tc>
        <w:tc>
          <w:tcPr>
            <w:tcW w:type="dxa" w:w="4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20"/>
                <w:szCs w:val="20"/>
              </w:rPr>
              <w:t xml:space="preserve">Consentement explicit du senior, lecture seule, révocable</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F6E56"/>
                <w:sz w:val="20"/>
                <w:szCs w:val="20"/>
              </w:rPr>
              <w:t xml:space="preserve">Analyse IA</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A1A1A"/>
                <w:sz w:val="20"/>
                <w:szCs w:val="20"/>
              </w:rPr>
              <w:t xml:space="preserve">API Anthropic (claude-sonnet-4-6)</w:t>
            </w:r>
          </w:p>
        </w:tc>
        <w:tc>
          <w:tcPr>
            <w:tcW w:type="dxa" w:w="4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20"/>
                <w:szCs w:val="20"/>
              </w:rPr>
              <w:t xml:space="preserve">Scoring risque email, JSON structuré, stable et rapide</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F6E56"/>
                <w:sz w:val="20"/>
                <w:szCs w:val="20"/>
              </w:rPr>
              <w:t xml:space="preserve">Paiement</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A1A1A"/>
                <w:sz w:val="20"/>
                <w:szCs w:val="20"/>
              </w:rPr>
              <w:t xml:space="preserve">Stripe</w:t>
            </w:r>
          </w:p>
        </w:tc>
        <w:tc>
          <w:tcPr>
            <w:tcW w:type="dxa" w:w="4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20"/>
                <w:szCs w:val="20"/>
              </w:rPr>
              <w:t xml:space="preserve">Abonnements récurrents, webhooks, portail client self-service</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F6E56"/>
                <w:sz w:val="20"/>
                <w:szCs w:val="20"/>
              </w:rPr>
              <w:t xml:space="preserve">Emails alertes</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A1A1A"/>
                <w:sz w:val="20"/>
                <w:szCs w:val="20"/>
              </w:rPr>
              <w:t xml:space="preserve">Resend</w:t>
            </w:r>
          </w:p>
        </w:tc>
        <w:tc>
          <w:tcPr>
            <w:tcW w:type="dxa" w:w="4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20"/>
                <w:szCs w:val="20"/>
              </w:rPr>
              <w:t xml:space="preserve">API simple, délivrabilité excellente, templates HTML</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F6E56"/>
                <w:sz w:val="20"/>
                <w:szCs w:val="20"/>
              </w:rPr>
              <w:t xml:space="preserve">Process manager</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A1A1A"/>
                <w:sz w:val="20"/>
                <w:szCs w:val="20"/>
              </w:rPr>
              <w:t xml:space="preserve">PM2</w:t>
            </w:r>
          </w:p>
        </w:tc>
        <w:tc>
          <w:tcPr>
            <w:tcW w:type="dxa" w:w="4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20"/>
                <w:szCs w:val="20"/>
              </w:rPr>
              <w:t xml:space="preserve">Gestion des processus Adonis + workers sur Hetzner</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F6E56"/>
                <w:sz w:val="20"/>
                <w:szCs w:val="20"/>
              </w:rPr>
              <w:t xml:space="preserve">Reverse proxy</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A1A1A"/>
                <w:sz w:val="20"/>
                <w:szCs w:val="20"/>
              </w:rPr>
              <w:t xml:space="preserve">Nginx</w:t>
            </w:r>
          </w:p>
        </w:tc>
        <w:tc>
          <w:tcPr>
            <w:tcW w:type="dxa" w:w="4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20"/>
                <w:szCs w:val="20"/>
              </w:rPr>
              <w:t xml:space="preserve">Sur Hetzner : routing, SSL Let’s Encrypt, compression</w:t>
            </w:r>
          </w:p>
        </w:tc>
      </w:tr>
    </w:tbl>
    <w:p>
      <w:pPr>
        <w:spacing w:after="0" w:before="160"/>
      </w:pPr>
      <w:r>
        <w:t xml:space="preserve"/>
      </w:r>
    </w:p>
    <w:p>
      <w:pPr>
        <w:pStyle w:val="Heading2"/>
        <w:spacing w:after="120" w:before="300"/>
      </w:pPr>
      <w:r>
        <w:rPr>
          <w:rFonts w:ascii="Arial" w:cs="Arial" w:eastAsia="Arial" w:hAnsi="Arial"/>
          <w:b/>
          <w:bCs/>
          <w:color w:val="1A1A1A"/>
          <w:sz w:val="28"/>
          <w:szCs w:val="28"/>
        </w:rPr>
        <w:t xml:space="preserve">2.3 Architecture Hetzner VPS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160"/>
              <w:left w:type="dxa" w:w="200"/>
              <w:bottom w:type="dxa" w:w="160"/>
              <w:right w:type="dxa" w:w="200"/>
            </w:tcMar>
          </w:tcPr>
          <w:p>
            <w:pPr>
              <w:spacing w:after="0" w:before="0"/>
            </w:pPr>
            <w:r>
              <w:rPr>
                <w:rFonts w:ascii="Arial" w:cs="Arial" w:eastAsia="Arial" w:hAnsi="Arial"/>
                <w:b w:val="false"/>
                <w:bCs w:val="false"/>
                <w:color w:val="1A1A1A"/>
                <w:sz w:val="22"/>
                <w:szCs w:val="22"/>
              </w:rPr>
              <w:t xml:space="preserve">Un seul VPS Hetzner (CX21 ou CX31 recommandé) fait tourner :
•  Nginx (reverse proxy + SSL)
•  Adonis 6 API (port 3333, géré par PM2)
•  Adonis Jobs Worker (processus séparé, géré par PM2)
•  PostgreSQL 16
•  pgAdmin (optionnel, port local uniquement)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60"/>
              <w:left w:type="dxa" w:w="200"/>
              <w:bottom w:type="dxa" w:w="160"/>
              <w:right w:type="dxa" w:w="200"/>
            </w:tcMar>
          </w:tcPr>
          <w:p>
            <w:pPr>
              <w:spacing w:after="0" w:before="0"/>
            </w:pPr>
            <w:r>
              <w:rPr>
                <w:rFonts w:ascii="Arial" w:cs="Arial" w:eastAsia="Arial" w:hAnsi="Arial"/>
                <w:b w:val="false"/>
                <w:bCs w:val="false"/>
                <w:color w:val="633806"/>
                <w:sz w:val="22"/>
                <w:szCs w:val="22"/>
              </w:rPr>
              <w:t xml:space="preserve">⚠️  Point d’attention : si Tunelab tourne déjà sur ce VPS, vérifier les ressources disponibles. Un CX21 (2 vCPU, 4 GB RAM) suffit pour les deux projets en phase MVP. Prévoir un upgrade vers CX31 si la charge augmente.</w:t>
            </w:r>
          </w:p>
        </w:tc>
      </w:tr>
    </w:tbl>
    <w:p>
      <w:pPr>
        <w:spacing w:after="0" w:before="160"/>
      </w:pPr>
      <w:r>
        <w:t xml:space="preserve"/>
      </w:r>
    </w:p>
    <w:p>
      <w:pPr>
        <w:pStyle w:val="Heading2"/>
        <w:spacing w:after="120" w:before="300"/>
      </w:pPr>
      <w:r>
        <w:rPr>
          <w:rFonts w:ascii="Arial" w:cs="Arial" w:eastAsia="Arial" w:hAnsi="Arial"/>
          <w:b/>
          <w:bCs/>
          <w:color w:val="1A1A1A"/>
          <w:sz w:val="28"/>
          <w:szCs w:val="28"/>
        </w:rPr>
        <w:t xml:space="preserve">2.4 Flux de communication Nuxt ↔ Adonis</w:t>
      </w:r>
    </w:p>
    <w:p>
      <w:pPr>
        <w:pStyle w:val="ListParagraph"/>
        <w:numPr>
          <w:ilvl w:val="0"/>
          <w:numId w:val="2"/>
        </w:numPr>
        <w:spacing w:after="40" w:before="40"/>
      </w:pPr>
      <w:r>
        <w:rPr>
          <w:rFonts w:ascii="Arial" w:cs="Arial" w:eastAsia="Arial" w:hAnsi="Arial"/>
          <w:color w:val="1A1A1A"/>
          <w:sz w:val="22"/>
          <w:szCs w:val="22"/>
        </w:rPr>
        <w:t xml:space="preserve">Le frontend Nuxt (Vercel) appelle l’API REST Adonis via HTTPS (domaine api.sentinelle.app)</w:t>
      </w:r>
    </w:p>
    <w:p>
      <w:pPr>
        <w:pStyle w:val="ListParagraph"/>
        <w:numPr>
          <w:ilvl w:val="0"/>
          <w:numId w:val="2"/>
        </w:numPr>
        <w:spacing w:after="40" w:before="40"/>
      </w:pPr>
      <w:r>
        <w:rPr>
          <w:rFonts w:ascii="Arial" w:cs="Arial" w:eastAsia="Arial" w:hAnsi="Arial"/>
          <w:color w:val="1A1A1A"/>
          <w:sz w:val="22"/>
          <w:szCs w:val="22"/>
        </w:rPr>
        <w:t xml:space="preserve">Adonis expose les routes API sous /api/v1/</w:t>
      </w:r>
    </w:p>
    <w:p>
      <w:pPr>
        <w:pStyle w:val="ListParagraph"/>
        <w:numPr>
          <w:ilvl w:val="0"/>
          <w:numId w:val="2"/>
        </w:numPr>
        <w:spacing w:after="40" w:before="40"/>
      </w:pPr>
      <w:r>
        <w:rPr>
          <w:rFonts w:ascii="Arial" w:cs="Arial" w:eastAsia="Arial" w:hAnsi="Arial"/>
          <w:color w:val="1A1A1A"/>
          <w:sz w:val="22"/>
          <w:szCs w:val="22"/>
        </w:rPr>
        <w:t xml:space="preserve">L’authentification se fait via JWT (tokens générés par Adonis Auth)</w:t>
      </w:r>
    </w:p>
    <w:p>
      <w:pPr>
        <w:pStyle w:val="ListParagraph"/>
        <w:numPr>
          <w:ilvl w:val="0"/>
          <w:numId w:val="2"/>
        </w:numPr>
        <w:spacing w:after="40" w:before="40"/>
      </w:pPr>
      <w:r>
        <w:rPr>
          <w:rFonts w:ascii="Arial" w:cs="Arial" w:eastAsia="Arial" w:hAnsi="Arial"/>
          <w:color w:val="1A1A1A"/>
          <w:sz w:val="22"/>
          <w:szCs w:val="22"/>
        </w:rPr>
        <w:t xml:space="preserve">Le token JWT est stocké côté client dans un cookie HttpOnly sécurisé</w:t>
      </w:r>
    </w:p>
    <w:p>
      <w:pPr>
        <w:pStyle w:val="ListParagraph"/>
        <w:numPr>
          <w:ilvl w:val="0"/>
          <w:numId w:val="2"/>
        </w:numPr>
        <w:spacing w:after="40" w:before="40"/>
      </w:pPr>
      <w:r>
        <w:rPr>
          <w:rFonts w:ascii="Arial" w:cs="Arial" w:eastAsia="Arial" w:hAnsi="Arial"/>
          <w:color w:val="1A1A1A"/>
          <w:sz w:val="22"/>
          <w:szCs w:val="22"/>
        </w:rPr>
        <w:t xml:space="preserve">Nginx sur Hetzner route les requêtes vers Adonis et gère le SSL</w:t>
      </w:r>
    </w:p>
    <w:p>
      <w:pPr>
        <w:spacing w:after="0" w:before="160"/>
      </w:pPr>
      <w:r>
        <w:t xml:space="preserve"/>
      </w:r>
    </w:p>
    <w:p>
      <w:pPr>
        <w:pStyle w:val="Heading2"/>
        <w:spacing w:after="120" w:before="300"/>
      </w:pPr>
      <w:r>
        <w:rPr>
          <w:rFonts w:ascii="Arial" w:cs="Arial" w:eastAsia="Arial" w:hAnsi="Arial"/>
          <w:b/>
          <w:bCs/>
          <w:color w:val="1A1A1A"/>
          <w:sz w:val="28"/>
          <w:szCs w:val="28"/>
        </w:rPr>
        <w:t xml:space="preserve">2.5 Flux de traitement d’un email (Worker Adonis)</w:t>
      </w:r>
    </w:p>
    <w:p>
      <w:pPr>
        <w:pStyle w:val="ListParagraph"/>
        <w:numPr>
          <w:ilvl w:val="0"/>
          <w:numId w:val="2"/>
        </w:numPr>
        <w:spacing w:after="40" w:before="40"/>
      </w:pPr>
      <w:r>
        <w:rPr>
          <w:rFonts w:ascii="Arial" w:cs="Arial" w:eastAsia="Arial" w:hAnsi="Arial"/>
          <w:color w:val="1A1A1A"/>
          <w:sz w:val="22"/>
          <w:szCs w:val="22"/>
        </w:rPr>
        <w:t xml:space="preserve">Un job Adonis s’exécute toutes les 5 minutes (scheduler Adonis natif)</w:t>
      </w:r>
    </w:p>
    <w:p>
      <w:pPr>
        <w:pStyle w:val="ListParagraph"/>
        <w:numPr>
          <w:ilvl w:val="0"/>
          <w:numId w:val="2"/>
        </w:numPr>
        <w:spacing w:after="40" w:before="40"/>
      </w:pPr>
      <w:r>
        <w:rPr>
          <w:rFonts w:ascii="Arial" w:cs="Arial" w:eastAsia="Arial" w:hAnsi="Arial"/>
          <w:color w:val="1A1A1A"/>
          <w:sz w:val="22"/>
          <w:szCs w:val="22"/>
        </w:rPr>
        <w:t xml:space="preserve">Pour chaque senior actif : récupère le refresh token OAuth (chiffré en BDD)</w:t>
      </w:r>
    </w:p>
    <w:p>
      <w:pPr>
        <w:pStyle w:val="ListParagraph"/>
        <w:numPr>
          <w:ilvl w:val="0"/>
          <w:numId w:val="2"/>
        </w:numPr>
        <w:spacing w:after="40" w:before="40"/>
      </w:pPr>
      <w:r>
        <w:rPr>
          <w:rFonts w:ascii="Arial" w:cs="Arial" w:eastAsia="Arial" w:hAnsi="Arial"/>
          <w:color w:val="1A1A1A"/>
          <w:sz w:val="22"/>
          <w:szCs w:val="22"/>
        </w:rPr>
        <w:t xml:space="preserve">Interroge Gmail API v1 : messages.list avec filtre is:unread newer_than:5m</w:t>
      </w:r>
    </w:p>
    <w:p>
      <w:pPr>
        <w:pStyle w:val="ListParagraph"/>
        <w:numPr>
          <w:ilvl w:val="0"/>
          <w:numId w:val="2"/>
        </w:numPr>
        <w:spacing w:after="40" w:before="40"/>
      </w:pPr>
      <w:r>
        <w:rPr>
          <w:rFonts w:ascii="Arial" w:cs="Arial" w:eastAsia="Arial" w:hAnsi="Arial"/>
          <w:color w:val="1A1A1A"/>
          <w:sz w:val="22"/>
          <w:szCs w:val="22"/>
        </w:rPr>
        <w:t xml:space="preserve">Pour chaque nouvel email : récupère from, subject, date, body (texte brut, tronqué à 2000 car.)</w:t>
      </w:r>
    </w:p>
    <w:p>
      <w:pPr>
        <w:pStyle w:val="ListParagraph"/>
        <w:numPr>
          <w:ilvl w:val="0"/>
          <w:numId w:val="2"/>
        </w:numPr>
        <w:spacing w:after="40" w:before="40"/>
      </w:pPr>
      <w:r>
        <w:rPr>
          <w:rFonts w:ascii="Arial" w:cs="Arial" w:eastAsia="Arial" w:hAnsi="Arial"/>
          <w:color w:val="1A1A1A"/>
          <w:sz w:val="22"/>
          <w:szCs w:val="22"/>
        </w:rPr>
        <w:t xml:space="preserve">Envoie à l’API Claude avec le prompt système — reçoit le JSON de scoring</w:t>
      </w:r>
    </w:p>
    <w:p>
      <w:pPr>
        <w:pStyle w:val="ListParagraph"/>
        <w:numPr>
          <w:ilvl w:val="0"/>
          <w:numId w:val="2"/>
        </w:numPr>
        <w:spacing w:after="40" w:before="40"/>
      </w:pPr>
      <w:r>
        <w:rPr>
          <w:rFonts w:ascii="Arial" w:cs="Arial" w:eastAsia="Arial" w:hAnsi="Arial"/>
          <w:color w:val="1A1A1A"/>
          <w:sz w:val="22"/>
          <w:szCs w:val="22"/>
        </w:rPr>
        <w:t xml:space="preserve">Stocke le résultat dans PostgreSQL (table email_analyses)</w:t>
      </w:r>
    </w:p>
    <w:p>
      <w:pPr>
        <w:pStyle w:val="ListParagraph"/>
        <w:numPr>
          <w:ilvl w:val="0"/>
          <w:numId w:val="2"/>
        </w:numPr>
        <w:spacing w:after="40" w:before="40"/>
      </w:pPr>
      <w:r>
        <w:rPr>
          <w:rFonts w:ascii="Arial" w:cs="Arial" w:eastAsia="Arial" w:hAnsi="Arial"/>
          <w:color w:val="1A1A1A"/>
          <w:sz w:val="22"/>
          <w:szCs w:val="22"/>
        </w:rPr>
        <w:t xml:space="preserve">Si score &gt;= seuil configuré : envoie alerte email à l’enfant via Resend</w:t>
      </w:r>
    </w:p>
    <w:p>
      <w:pPr>
        <w:pStyle w:val="ListParagraph"/>
        <w:numPr>
          <w:ilvl w:val="0"/>
          <w:numId w:val="2"/>
        </w:numPr>
        <w:spacing w:after="40" w:before="40"/>
      </w:pPr>
      <w:r>
        <w:rPr>
          <w:rFonts w:ascii="Arial" w:cs="Arial" w:eastAsia="Arial" w:hAnsi="Arial"/>
          <w:color w:val="1A1A1A"/>
          <w:sz w:val="22"/>
          <w:szCs w:val="22"/>
        </w:rPr>
        <w:t xml:space="preserve">L’email original n’est PAS modifié dans Gmail</w:t>
      </w:r>
    </w:p>
    <w:p>
      <w:pPr>
        <w:spacing w:after="0" w:before="160"/>
      </w:pPr>
      <w:r>
        <w:t xml:space="preserve"/>
      </w:r>
    </w:p>
    <w:p>
      <w:pPr>
        <w:pStyle w:val="Heading2"/>
        <w:spacing w:after="120" w:before="300"/>
      </w:pPr>
      <w:r>
        <w:rPr>
          <w:rFonts w:ascii="Arial" w:cs="Arial" w:eastAsia="Arial" w:hAnsi="Arial"/>
          <w:b/>
          <w:bCs/>
          <w:color w:val="1A1A1A"/>
          <w:sz w:val="28"/>
          <w:szCs w:val="28"/>
        </w:rPr>
        <w:t xml:space="preserve">2.6 Sécurité et RGPD</w:t>
      </w:r>
    </w:p>
    <w:p>
      <w:pPr>
        <w:pStyle w:val="ListParagraph"/>
        <w:numPr>
          <w:ilvl w:val="0"/>
          <w:numId w:val="3"/>
        </w:numPr>
        <w:spacing w:after="40" w:before="40"/>
      </w:pPr>
      <w:r>
        <w:rPr>
          <w:rFonts w:ascii="Arial" w:cs="Arial" w:eastAsia="Arial" w:hAnsi="Arial"/>
          <w:color w:val="1A1A1A"/>
          <w:sz w:val="22"/>
          <w:szCs w:val="22"/>
        </w:rPr>
        <w:t xml:space="preserve">OAuth Google : consentement explicite du senior, périmètre lecture seule (gmail.readonly)</w:t>
      </w:r>
    </w:p>
    <w:p>
      <w:pPr>
        <w:pStyle w:val="ListParagraph"/>
        <w:numPr>
          <w:ilvl w:val="0"/>
          <w:numId w:val="3"/>
        </w:numPr>
        <w:spacing w:after="40" w:before="40"/>
      </w:pPr>
      <w:r>
        <w:rPr>
          <w:rFonts w:ascii="Arial" w:cs="Arial" w:eastAsia="Arial" w:hAnsi="Arial"/>
          <w:color w:val="1A1A1A"/>
          <w:sz w:val="22"/>
          <w:szCs w:val="22"/>
        </w:rPr>
        <w:t xml:space="preserve">Tokens OAuth chiffrés en AES-256 avant stockage PostgreSQL</w:t>
      </w:r>
    </w:p>
    <w:p>
      <w:pPr>
        <w:pStyle w:val="ListParagraph"/>
        <w:numPr>
          <w:ilvl w:val="0"/>
          <w:numId w:val="3"/>
        </w:numPr>
        <w:spacing w:after="40" w:before="40"/>
      </w:pPr>
      <w:r>
        <w:rPr>
          <w:rFonts w:ascii="Arial" w:cs="Arial" w:eastAsia="Arial" w:hAnsi="Arial"/>
          <w:color w:val="1A1A1A"/>
          <w:sz w:val="22"/>
          <w:szCs w:val="22"/>
        </w:rPr>
        <w:t xml:space="preserve">Corps des emails NON stockés — uniquement métadonnées + résultat analyse</w:t>
      </w:r>
    </w:p>
    <w:p>
      <w:pPr>
        <w:pStyle w:val="ListParagraph"/>
        <w:numPr>
          <w:ilvl w:val="0"/>
          <w:numId w:val="3"/>
        </w:numPr>
        <w:spacing w:after="40" w:before="40"/>
      </w:pPr>
      <w:r>
        <w:rPr>
          <w:rFonts w:ascii="Arial" w:cs="Arial" w:eastAsia="Arial" w:hAnsi="Arial"/>
          <w:color w:val="1A1A1A"/>
          <w:sz w:val="22"/>
          <w:szCs w:val="22"/>
        </w:rPr>
        <w:t xml:space="preserve">Droit à l’oubli : suppression compte = révocation OAuth Google + purge BDD</w:t>
      </w:r>
    </w:p>
    <w:p>
      <w:pPr>
        <w:pStyle w:val="ListParagraph"/>
        <w:numPr>
          <w:ilvl w:val="0"/>
          <w:numId w:val="3"/>
        </w:numPr>
        <w:spacing w:after="40" w:before="40"/>
      </w:pPr>
      <w:r>
        <w:rPr>
          <w:rFonts w:ascii="Arial" w:cs="Arial" w:eastAsia="Arial" w:hAnsi="Arial"/>
          <w:color w:val="1A1A1A"/>
          <w:sz w:val="22"/>
          <w:szCs w:val="22"/>
        </w:rPr>
        <w:t xml:space="preserve">Hébergement 100 % EU (Hetzner Allemagne, Vercel EU region)</w:t>
      </w:r>
    </w:p>
    <w:p>
      <w:pPr>
        <w:pStyle w:val="ListParagraph"/>
        <w:numPr>
          <w:ilvl w:val="0"/>
          <w:numId w:val="3"/>
        </w:numPr>
        <w:spacing w:after="40" w:before="40"/>
      </w:pPr>
      <w:r>
        <w:rPr>
          <w:rFonts w:ascii="Arial" w:cs="Arial" w:eastAsia="Arial" w:hAnsi="Arial"/>
          <w:color w:val="1A1A1A"/>
          <w:sz w:val="22"/>
          <w:szCs w:val="22"/>
        </w:rPr>
        <w:t xml:space="preserve">HTTPS obligatoire sur toutes les communications Nuxt ↔ Adonis</w:t>
      </w:r>
    </w:p>
    <w:p>
      <w:pPr>
        <w:pStyle w:val="ListParagraph"/>
        <w:numPr>
          <w:ilvl w:val="0"/>
          <w:numId w:val="3"/>
        </w:numPr>
        <w:spacing w:after="40" w:before="40"/>
      </w:pPr>
      <w:r>
        <w:rPr>
          <w:rFonts w:ascii="Arial" w:cs="Arial" w:eastAsia="Arial" w:hAnsi="Arial"/>
          <w:color w:val="1A1A1A"/>
          <w:sz w:val="22"/>
          <w:szCs w:val="22"/>
        </w:rPr>
        <w:t xml:space="preserve">Rate limiting sur les routes API Adonis (middleware natif)</w:t>
      </w:r>
    </w:p>
    <w:p>
      <w:pPr>
        <w:pBdr>
          <w:bottom w:val="single" w:color="DDDDDD" w:sz="4"/>
        </w:pBdr>
        <w:spacing w:after="200" w:before="200"/>
      </w:pPr>
      <w:r>
        <w:t xml:space="preserve"/>
      </w:r>
    </w:p>
    <w:p>
      <w:pPr>
        <w:pStyle w:val="Heading1"/>
        <w:spacing w:after="160" w:before="400"/>
      </w:pPr>
      <w:r>
        <w:rPr>
          <w:rFonts w:ascii="Arial" w:cs="Arial" w:eastAsia="Arial" w:hAnsi="Arial"/>
          <w:b/>
          <w:bCs/>
          <w:color w:val="0F6E56"/>
          <w:sz w:val="36"/>
          <w:szCs w:val="36"/>
        </w:rPr>
        <w:t xml:space="preserve">3. Parcours utilisateurs</w:t>
      </w:r>
    </w:p>
    <w:p>
      <w:pPr>
        <w:pStyle w:val="Heading2"/>
        <w:spacing w:after="120" w:before="300"/>
      </w:pPr>
      <w:r>
        <w:rPr>
          <w:rFonts w:ascii="Arial" w:cs="Arial" w:eastAsia="Arial" w:hAnsi="Arial"/>
          <w:b/>
          <w:bCs/>
          <w:color w:val="1A1A1A"/>
          <w:sz w:val="28"/>
          <w:szCs w:val="28"/>
        </w:rPr>
        <w:t xml:space="preserve">3.1 Deux profils, deux rôles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2"/>
                <w:szCs w:val="22"/>
              </w:rPr>
              <w:t xml:space="preserve">L’Enfant aidant (Compte payant)</w:t>
            </w:r>
          </w:p>
        </w:tc>
        <w:tc>
          <w:tcPr>
            <w:tcW w:type="dxa" w:w="4860"/>
            <w:tcBorders>
              <w:top w:val="single" w:color="CCCCCC" w:sz="1"/>
              <w:left w:val="single" w:color="CCCCCC" w:sz="1"/>
              <w:bottom w:val="single" w:color="CCCCCC" w:sz="1"/>
              <w:right w:val="single" w:color="CCCCCC" w:sz="1"/>
            </w:tcBorders>
            <w:shd w:fill="0F6E56" w:val="clear"/>
            <w:tcMar>
              <w:top w:type="dxa" w:w="100"/>
              <w:left w:type="dxa" w:w="140"/>
              <w:bottom w:type="dxa" w:w="100"/>
              <w:right w:type="dxa" w:w="140"/>
            </w:tcMar>
          </w:tcPr>
          <w:p>
            <w:r>
              <w:rPr>
                <w:rFonts w:ascii="Arial" w:cs="Arial" w:eastAsia="Arial" w:hAnsi="Arial"/>
                <w:b/>
                <w:bCs/>
                <w:color w:val="FFFFFF"/>
                <w:sz w:val="22"/>
                <w:szCs w:val="22"/>
              </w:rPr>
              <w:t xml:space="preserve">Le Senior (Compte surveillé)</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Crée et paye le compte Sentinelle</w:t>
            </w:r>
          </w:p>
          <w:p>
            <w:r>
              <w:rPr>
                <w:rFonts w:ascii="Arial" w:cs="Arial" w:eastAsia="Arial" w:hAnsi="Arial"/>
                <w:sz w:val="20"/>
                <w:szCs w:val="20"/>
              </w:rPr>
              <w:t xml:space="preserve">Connecte le Gmail de son parent</w:t>
            </w:r>
          </w:p>
          <w:p>
            <w:r>
              <w:rPr>
                <w:rFonts w:ascii="Arial" w:cs="Arial" w:eastAsia="Arial" w:hAnsi="Arial"/>
                <w:sz w:val="20"/>
                <w:szCs w:val="20"/>
              </w:rPr>
              <w:t xml:space="preserve">Configure les seuils et alertes</w:t>
            </w:r>
          </w:p>
          <w:p>
            <w:r>
              <w:rPr>
                <w:rFonts w:ascii="Arial" w:cs="Arial" w:eastAsia="Arial" w:hAnsi="Arial"/>
                <w:sz w:val="20"/>
                <w:szCs w:val="20"/>
              </w:rPr>
              <w:t xml:space="preserve">Reçoit les alertes sur son propre email</w:t>
            </w:r>
          </w:p>
          <w:p>
            <w:r>
              <w:rPr>
                <w:rFonts w:ascii="Arial" w:cs="Arial" w:eastAsia="Arial" w:hAnsi="Arial"/>
                <w:sz w:val="20"/>
                <w:szCs w:val="20"/>
              </w:rPr>
              <w:t xml:space="preserve">Consulte le dashboard via Nuxt</w:t>
            </w:r>
          </w:p>
        </w:tc>
        <w:tc>
          <w:tcPr>
            <w:tcW w:type="dxa" w:w="4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Autorise l’accès Gmail une seule fois (OAuth)</w:t>
            </w:r>
          </w:p>
          <w:p>
            <w:r>
              <w:rPr>
                <w:rFonts w:ascii="Arial" w:cs="Arial" w:eastAsia="Arial" w:hAnsi="Arial"/>
                <w:sz w:val="20"/>
                <w:szCs w:val="20"/>
              </w:rPr>
              <w:t xml:space="preserve">N’utilise pas l’interface Sentinelle</w:t>
            </w:r>
          </w:p>
          <w:p>
            <w:r>
              <w:rPr>
                <w:rFonts w:ascii="Arial" w:cs="Arial" w:eastAsia="Arial" w:hAnsi="Arial"/>
                <w:sz w:val="20"/>
                <w:szCs w:val="20"/>
              </w:rPr>
              <w:t xml:space="preserve">Continue d’utiliser Gmail normalement</w:t>
            </w:r>
          </w:p>
          <w:p>
            <w:r>
              <w:rPr>
                <w:rFonts w:ascii="Arial" w:cs="Arial" w:eastAsia="Arial" w:hAnsi="Arial"/>
                <w:sz w:val="20"/>
                <w:szCs w:val="20"/>
              </w:rPr>
              <w:t xml:space="preserve">Peut révoquer l’accès à tout moment</w:t>
            </w:r>
          </w:p>
        </w:tc>
      </w:tr>
    </w:tbl>
    <w:p>
      <w:pPr>
        <w:spacing w:after="0" w:before="160"/>
      </w:pPr>
      <w:r>
        <w:t xml:space="preserve"/>
      </w:r>
    </w:p>
    <w:p>
      <w:pPr>
        <w:pStyle w:val="Heading2"/>
        <w:spacing w:after="120" w:before="300"/>
      </w:pPr>
      <w:r>
        <w:rPr>
          <w:rFonts w:ascii="Arial" w:cs="Arial" w:eastAsia="Arial" w:hAnsi="Arial"/>
          <w:b/>
          <w:bCs/>
          <w:color w:val="1A1A1A"/>
          <w:sz w:val="28"/>
          <w:szCs w:val="28"/>
        </w:rPr>
        <w:t xml:space="preserve">3.2 Mode A — Installation par l’enfant (recommandé)</w:t>
      </w:r>
    </w:p>
    <w:p>
      <w:pPr>
        <w:pStyle w:val="ListParagraph"/>
        <w:numPr>
          <w:ilvl w:val="0"/>
          <w:numId w:val="2"/>
        </w:numPr>
        <w:spacing w:after="40" w:before="40"/>
      </w:pPr>
      <w:r>
        <w:rPr>
          <w:rFonts w:ascii="Arial" w:cs="Arial" w:eastAsia="Arial" w:hAnsi="Arial"/>
          <w:color w:val="1A1A1A"/>
          <w:sz w:val="22"/>
          <w:szCs w:val="22"/>
        </w:rPr>
        <w:t xml:space="preserve">L’enfant s’inscrit sur sentinelle.app (Nuxt), crée son compte via l’API Adonis</w:t>
      </w:r>
    </w:p>
    <w:p>
      <w:pPr>
        <w:pStyle w:val="ListParagraph"/>
        <w:numPr>
          <w:ilvl w:val="0"/>
          <w:numId w:val="2"/>
        </w:numPr>
        <w:spacing w:after="40" w:before="40"/>
      </w:pPr>
      <w:r>
        <w:rPr>
          <w:rFonts w:ascii="Arial" w:cs="Arial" w:eastAsia="Arial" w:hAnsi="Arial"/>
          <w:color w:val="1A1A1A"/>
          <w:sz w:val="22"/>
          <w:szCs w:val="22"/>
        </w:rPr>
        <w:t xml:space="preserve">Il saisit le prénom et l’adresse Gmail de son parent</w:t>
      </w:r>
    </w:p>
    <w:p>
      <w:pPr>
        <w:pStyle w:val="ListParagraph"/>
        <w:numPr>
          <w:ilvl w:val="0"/>
          <w:numId w:val="2"/>
        </w:numPr>
        <w:spacing w:after="40" w:before="40"/>
      </w:pPr>
      <w:r>
        <w:rPr>
          <w:rFonts w:ascii="Arial" w:cs="Arial" w:eastAsia="Arial" w:hAnsi="Arial"/>
          <w:color w:val="1A1A1A"/>
          <w:sz w:val="22"/>
          <w:szCs w:val="22"/>
        </w:rPr>
        <w:t xml:space="preserve">Adonis génère un lien OAuth unique et l’envoie au senior par email (Resend)</w:t>
      </w:r>
    </w:p>
    <w:p>
      <w:pPr>
        <w:pStyle w:val="ListParagraph"/>
        <w:numPr>
          <w:ilvl w:val="0"/>
          <w:numId w:val="2"/>
        </w:numPr>
        <w:spacing w:after="40" w:before="40"/>
      </w:pPr>
      <w:r>
        <w:rPr>
          <w:rFonts w:ascii="Arial" w:cs="Arial" w:eastAsia="Arial" w:hAnsi="Arial"/>
          <w:color w:val="1A1A1A"/>
          <w:sz w:val="22"/>
          <w:szCs w:val="22"/>
        </w:rPr>
        <w:t xml:space="preserve">L’enfant ouvre ce lien SUR l’appareil du senior et clique « Autoriser »</w:t>
      </w:r>
    </w:p>
    <w:p>
      <w:pPr>
        <w:pStyle w:val="ListParagraph"/>
        <w:numPr>
          <w:ilvl w:val="0"/>
          <w:numId w:val="2"/>
        </w:numPr>
        <w:spacing w:after="40" w:before="40"/>
      </w:pPr>
      <w:r>
        <w:rPr>
          <w:rFonts w:ascii="Arial" w:cs="Arial" w:eastAsia="Arial" w:hAnsi="Arial"/>
          <w:color w:val="1A1A1A"/>
          <w:sz w:val="22"/>
          <w:szCs w:val="22"/>
        </w:rPr>
        <w:t xml:space="preserve">Google retourne le code → Adonis l’échange contre un refresh token → chiffré en BDD</w:t>
      </w:r>
    </w:p>
    <w:p>
      <w:pPr>
        <w:pStyle w:val="ListParagraph"/>
        <w:numPr>
          <w:ilvl w:val="0"/>
          <w:numId w:val="2"/>
        </w:numPr>
        <w:spacing w:after="40" w:before="40"/>
      </w:pPr>
      <w:r>
        <w:rPr>
          <w:rFonts w:ascii="Arial" w:cs="Arial" w:eastAsia="Arial" w:hAnsi="Arial"/>
          <w:color w:val="1A1A1A"/>
          <w:sz w:val="22"/>
          <w:szCs w:val="22"/>
        </w:rPr>
        <w:t xml:space="preserve">Surveillance active. L’enfant reçoit une confirmation par email.</w:t>
      </w:r>
    </w:p>
    <w:p>
      <w:pPr>
        <w:spacing w:after="0" w:before="120"/>
      </w:pPr>
      <w:r>
        <w:t xml:space="preserve"/>
      </w:r>
    </w:p>
    <w:p>
      <w:pPr>
        <w:pStyle w:val="Heading2"/>
        <w:spacing w:after="120" w:before="300"/>
      </w:pPr>
      <w:r>
        <w:rPr>
          <w:rFonts w:ascii="Arial" w:cs="Arial" w:eastAsia="Arial" w:hAnsi="Arial"/>
          <w:b/>
          <w:bCs/>
          <w:color w:val="1A1A1A"/>
          <w:sz w:val="28"/>
          <w:szCs w:val="28"/>
        </w:rPr>
        <w:t xml:space="preserve">3.3 Mode B — Autonome senior</w:t>
      </w:r>
    </w:p>
    <w:p>
      <w:pPr>
        <w:pStyle w:val="ListParagraph"/>
        <w:numPr>
          <w:ilvl w:val="0"/>
          <w:numId w:val="2"/>
        </w:numPr>
        <w:spacing w:after="40" w:before="40"/>
      </w:pPr>
      <w:r>
        <w:rPr>
          <w:rFonts w:ascii="Arial" w:cs="Arial" w:eastAsia="Arial" w:hAnsi="Arial"/>
          <w:color w:val="1A1A1A"/>
          <w:sz w:val="22"/>
          <w:szCs w:val="22"/>
        </w:rPr>
        <w:t xml:space="preserve">Le senior reçoit un email avec un bouton unique « Protéger mon Gmail »</w:t>
      </w:r>
    </w:p>
    <w:p>
      <w:pPr>
        <w:pStyle w:val="ListParagraph"/>
        <w:numPr>
          <w:ilvl w:val="0"/>
          <w:numId w:val="2"/>
        </w:numPr>
        <w:spacing w:after="40" w:before="40"/>
      </w:pPr>
      <w:r>
        <w:rPr>
          <w:rFonts w:ascii="Arial" w:cs="Arial" w:eastAsia="Arial" w:hAnsi="Arial"/>
          <w:color w:val="1A1A1A"/>
          <w:sz w:val="22"/>
          <w:szCs w:val="22"/>
        </w:rPr>
        <w:t xml:space="preserve">Page Nuxt ultra-simple : explication en 3 lignes + un seul bouton</w:t>
      </w:r>
    </w:p>
    <w:p>
      <w:pPr>
        <w:pStyle w:val="ListParagraph"/>
        <w:numPr>
          <w:ilvl w:val="0"/>
          <w:numId w:val="2"/>
        </w:numPr>
        <w:spacing w:after="40" w:before="40"/>
      </w:pPr>
      <w:r>
        <w:rPr>
          <w:rFonts w:ascii="Arial" w:cs="Arial" w:eastAsia="Arial" w:hAnsi="Arial"/>
          <w:color w:val="1A1A1A"/>
          <w:sz w:val="22"/>
          <w:szCs w:val="22"/>
        </w:rPr>
        <w:t xml:space="preserve">Redirection vers consentement Google OAuth (page Google standard)</w:t>
      </w:r>
    </w:p>
    <w:p>
      <w:pPr>
        <w:pStyle w:val="ListParagraph"/>
        <w:numPr>
          <w:ilvl w:val="0"/>
          <w:numId w:val="2"/>
        </w:numPr>
        <w:spacing w:after="40" w:before="40"/>
      </w:pPr>
      <w:r>
        <w:rPr>
          <w:rFonts w:ascii="Arial" w:cs="Arial" w:eastAsia="Arial" w:hAnsi="Arial"/>
          <w:color w:val="1A1A1A"/>
          <w:sz w:val="22"/>
          <w:szCs w:val="22"/>
        </w:rPr>
        <w:t xml:space="preserve">Confirmation : « Votre boîte mail est maintenant protégée »</w:t>
      </w:r>
    </w:p>
    <w:p>
      <w:pPr>
        <w:pStyle w:val="ListParagraph"/>
        <w:numPr>
          <w:ilvl w:val="0"/>
          <w:numId w:val="2"/>
        </w:numPr>
        <w:spacing w:after="40" w:before="40"/>
      </w:pPr>
      <w:r>
        <w:rPr>
          <w:rFonts w:ascii="Arial" w:cs="Arial" w:eastAsia="Arial" w:hAnsi="Arial"/>
          <w:color w:val="1A1A1A"/>
          <w:sz w:val="22"/>
          <w:szCs w:val="22"/>
        </w:rPr>
        <w:t xml:space="preserve">L’enfant est notifié de l’activation automatiquement</w:t>
      </w:r>
    </w:p>
    <w:p>
      <w:pPr>
        <w:pBdr>
          <w:bottom w:val="single" w:color="DDDDDD" w:sz="4"/>
        </w:pBdr>
        <w:spacing w:after="200" w:before="200"/>
      </w:pPr>
      <w:r>
        <w:t xml:space="preserve"/>
      </w:r>
    </w:p>
    <w:p>
      <w:pPr>
        <w:pStyle w:val="Heading1"/>
        <w:spacing w:after="160" w:before="400"/>
      </w:pPr>
      <w:r>
        <w:rPr>
          <w:rFonts w:ascii="Arial" w:cs="Arial" w:eastAsia="Arial" w:hAnsi="Arial"/>
          <w:b/>
          <w:bCs/>
          <w:color w:val="0F6E56"/>
          <w:sz w:val="36"/>
          <w:szCs w:val="36"/>
        </w:rPr>
        <w:t xml:space="preserve">4. Fonctionnalités détaillées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4000"/>
        <w:gridCol w:w="1100"/>
        <w:gridCol w:w="1160"/>
      </w:tblGrid>
      <w:tr>
        <w:trPr>
          <w:tblHeader/>
        </w:trPr>
        <w:tc>
          <w:tcPr>
            <w:tcW w:type="dxa" w:w="600"/>
            <w:tcBorders>
              <w:top w:val="single" w:color="CCCCCC" w:sz="1"/>
              <w:left w:val="single" w:color="CCCCCC" w:sz="1"/>
              <w:bottom w:val="single" w:color="CCCCCC" w:sz="1"/>
              <w:right w:val="single" w:color="CCCCCC" w:sz="1"/>
            </w:tcBorders>
            <w:shd w:fill="0F6E56" w:val="clear"/>
            <w:tcMar>
              <w:top w:type="dxa" w:w="100"/>
              <w:left w:type="dxa" w:w="100"/>
              <w:bottom w:type="dxa" w:w="100"/>
              <w:right w:type="dxa" w:w="100"/>
            </w:tcMar>
          </w:tcPr>
          <w:p>
            <w:r>
              <w:rPr>
                <w:rFonts w:ascii="Arial" w:cs="Arial" w:eastAsia="Arial" w:hAnsi="Arial"/>
                <w:b/>
                <w:bCs/>
                <w:color w:val="FFFFFF"/>
                <w:sz w:val="20"/>
                <w:szCs w:val="20"/>
              </w:rPr>
              <w:t xml:space="preserve">ID</w:t>
            </w:r>
          </w:p>
        </w:tc>
        <w:tc>
          <w:tcPr>
            <w:tcW w:type="dxa" w:w="2500"/>
            <w:tcBorders>
              <w:top w:val="single" w:color="CCCCCC" w:sz="1"/>
              <w:left w:val="single" w:color="CCCCCC" w:sz="1"/>
              <w:bottom w:val="single" w:color="CCCCCC" w:sz="1"/>
              <w:right w:val="single" w:color="CCCCCC" w:sz="1"/>
            </w:tcBorders>
            <w:shd w:fill="0F6E56" w:val="clear"/>
            <w:tcMar>
              <w:top w:type="dxa" w:w="100"/>
              <w:left w:type="dxa" w:w="100"/>
              <w:bottom w:type="dxa" w:w="100"/>
              <w:right w:type="dxa" w:w="100"/>
            </w:tcMar>
          </w:tcPr>
          <w:p>
            <w:r>
              <w:rPr>
                <w:rFonts w:ascii="Arial" w:cs="Arial" w:eastAsia="Arial" w:hAnsi="Arial"/>
                <w:b/>
                <w:bCs/>
                <w:color w:val="FFFFFF"/>
                <w:sz w:val="20"/>
                <w:szCs w:val="20"/>
              </w:rPr>
              <w:t xml:space="preserve">Fonctionnalité</w:t>
            </w:r>
          </w:p>
        </w:tc>
        <w:tc>
          <w:tcPr>
            <w:tcW w:type="dxa" w:w="4000"/>
            <w:tcBorders>
              <w:top w:val="single" w:color="CCCCCC" w:sz="1"/>
              <w:left w:val="single" w:color="CCCCCC" w:sz="1"/>
              <w:bottom w:val="single" w:color="CCCCCC" w:sz="1"/>
              <w:right w:val="single" w:color="CCCCCC" w:sz="1"/>
            </w:tcBorders>
            <w:shd w:fill="0F6E56" w:val="clear"/>
            <w:tcMar>
              <w:top w:type="dxa" w:w="100"/>
              <w:left w:type="dxa" w:w="100"/>
              <w:bottom w:type="dxa" w:w="100"/>
              <w:right w:type="dxa" w:w="100"/>
            </w:tcMar>
          </w:tcPr>
          <w:p>
            <w:r>
              <w:rPr>
                <w:rFonts w:ascii="Arial" w:cs="Arial" w:eastAsia="Arial" w:hAnsi="Arial"/>
                <w:b/>
                <w:bCs/>
                <w:color w:val="FFFFFF"/>
                <w:sz w:val="20"/>
                <w:szCs w:val="20"/>
              </w:rPr>
              <w:t xml:space="preserve">Description</w:t>
            </w:r>
          </w:p>
        </w:tc>
        <w:tc>
          <w:tcPr>
            <w:tcW w:type="dxa" w:w="1100"/>
            <w:tcBorders>
              <w:top w:val="single" w:color="CCCCCC" w:sz="1"/>
              <w:left w:val="single" w:color="CCCCCC" w:sz="1"/>
              <w:bottom w:val="single" w:color="CCCCCC" w:sz="1"/>
              <w:right w:val="single" w:color="CCCCCC" w:sz="1"/>
            </w:tcBorders>
            <w:shd w:fill="0F6E56" w:val="clear"/>
            <w:tcMar>
              <w:top w:type="dxa" w:w="100"/>
              <w:left w:type="dxa" w:w="100"/>
              <w:bottom w:type="dxa" w:w="100"/>
              <w:right w:type="dxa" w:w="100"/>
            </w:tcMar>
          </w:tcPr>
          <w:p>
            <w:r>
              <w:rPr>
                <w:rFonts w:ascii="Arial" w:cs="Arial" w:eastAsia="Arial" w:hAnsi="Arial"/>
                <w:b/>
                <w:bCs/>
                <w:color w:val="FFFFFF"/>
                <w:sz w:val="20"/>
                <w:szCs w:val="20"/>
              </w:rPr>
              <w:t xml:space="preserve">Priorité</w:t>
            </w:r>
          </w:p>
        </w:tc>
        <w:tc>
          <w:tcPr>
            <w:tcW w:type="dxa" w:w="1160"/>
            <w:tcBorders>
              <w:top w:val="single" w:color="CCCCCC" w:sz="1"/>
              <w:left w:val="single" w:color="CCCCCC" w:sz="1"/>
              <w:bottom w:val="single" w:color="CCCCCC" w:sz="1"/>
              <w:right w:val="single" w:color="CCCCCC" w:sz="1"/>
            </w:tcBorders>
            <w:shd w:fill="0F6E56" w:val="clear"/>
            <w:tcMar>
              <w:top w:type="dxa" w:w="100"/>
              <w:left w:type="dxa" w:w="100"/>
              <w:bottom w:type="dxa" w:w="100"/>
              <w:right w:type="dxa" w:w="100"/>
            </w:tcMar>
          </w:tcPr>
          <w:p>
            <w:r>
              <w:rPr>
                <w:rFonts w:ascii="Arial" w:cs="Arial" w:eastAsia="Arial" w:hAnsi="Arial"/>
                <w:b/>
                <w:bCs/>
                <w:color w:val="FFFFFF"/>
                <w:sz w:val="20"/>
                <w:szCs w:val="20"/>
              </w:rPr>
              <w:t xml:space="preserve">Complexité</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F6E56"/>
                <w:sz w:val="18"/>
                <w:szCs w:val="18"/>
              </w:rPr>
              <w:t xml:space="preserve">F01</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Inscription enfant</w:t>
            </w:r>
          </w:p>
        </w:tc>
        <w:tc>
          <w:tcPr>
            <w:tcW w:type="dxa" w:w="4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Formulaire Nuxt → API Adonis → création compte + JWT</w:t>
            </w:r>
          </w:p>
        </w:tc>
        <w:tc>
          <w:tcPr>
            <w:tcW w:type="dxa" w:w="110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MVP</w:t>
            </w:r>
          </w:p>
        </w:tc>
        <w:tc>
          <w:tcPr>
            <w:tcW w:type="dxa" w:w="116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Faible</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F6E56"/>
                <w:sz w:val="18"/>
                <w:szCs w:val="18"/>
              </w:rPr>
              <w:t xml:space="preserve">F02</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Ajout senior</w:t>
            </w:r>
          </w:p>
        </w:tc>
        <w:tc>
          <w:tcPr>
            <w:tcW w:type="dxa" w:w="4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Formulaire prénom + Gmail, génération lien OAuth unique</w:t>
            </w:r>
          </w:p>
        </w:tc>
        <w:tc>
          <w:tcPr>
            <w:tcW w:type="dxa" w:w="110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MVP</w:t>
            </w:r>
          </w:p>
        </w:tc>
        <w:tc>
          <w:tcPr>
            <w:tcW w:type="dxa" w:w="116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Faible</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F6E56"/>
                <w:sz w:val="18"/>
                <w:szCs w:val="18"/>
              </w:rPr>
              <w:t xml:space="preserve">F03</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Connexion Gmail OAuth</w:t>
            </w:r>
          </w:p>
        </w:tc>
        <w:tc>
          <w:tcPr>
            <w:tcW w:type="dxa" w:w="4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Flow OAuth Google, échange code → token, chiffrement AES-256</w:t>
            </w:r>
          </w:p>
        </w:tc>
        <w:tc>
          <w:tcPr>
            <w:tcW w:type="dxa" w:w="110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MVP</w:t>
            </w:r>
          </w:p>
        </w:tc>
        <w:tc>
          <w:tcPr>
            <w:tcW w:type="dxa" w:w="116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tcPr>
          <w:p>
            <w:pPr>
              <w:jc w:val="center"/>
            </w:pPr>
            <w:r>
              <w:rPr>
                <w:rFonts w:ascii="Arial" w:cs="Arial" w:eastAsia="Arial" w:hAnsi="Arial"/>
                <w:b/>
                <w:bCs/>
                <w:color w:val="BA7517"/>
                <w:sz w:val="18"/>
                <w:szCs w:val="18"/>
              </w:rPr>
              <w:t xml:space="preserve">Moyenne</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F6E56"/>
                <w:sz w:val="18"/>
                <w:szCs w:val="18"/>
              </w:rPr>
              <w:t xml:space="preserve">F04</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Worker polling Gmail</w:t>
            </w:r>
          </w:p>
        </w:tc>
        <w:tc>
          <w:tcPr>
            <w:tcW w:type="dxa" w:w="4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Job Adonis toutes les 5 min, Gmail API v1, déduplication</w:t>
            </w:r>
          </w:p>
        </w:tc>
        <w:tc>
          <w:tcPr>
            <w:tcW w:type="dxa" w:w="110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MVP</w:t>
            </w:r>
          </w:p>
        </w:tc>
        <w:tc>
          <w:tcPr>
            <w:tcW w:type="dxa" w:w="116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tcPr>
          <w:p>
            <w:pPr>
              <w:jc w:val="center"/>
            </w:pPr>
            <w:r>
              <w:rPr>
                <w:rFonts w:ascii="Arial" w:cs="Arial" w:eastAsia="Arial" w:hAnsi="Arial"/>
                <w:b/>
                <w:bCs/>
                <w:color w:val="BA7517"/>
                <w:sz w:val="18"/>
                <w:szCs w:val="18"/>
              </w:rPr>
              <w:t xml:space="preserve">Moyenne</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F6E56"/>
                <w:sz w:val="18"/>
                <w:szCs w:val="18"/>
              </w:rPr>
              <w:t xml:space="preserve">F05</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Analyse IA Claude</w:t>
            </w:r>
          </w:p>
        </w:tc>
        <w:tc>
          <w:tcPr>
            <w:tcW w:type="dxa" w:w="4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Appel API Anthropic, retour JSON score/catégorie/explication</w:t>
            </w:r>
          </w:p>
        </w:tc>
        <w:tc>
          <w:tcPr>
            <w:tcW w:type="dxa" w:w="110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MVP</w:t>
            </w:r>
          </w:p>
        </w:tc>
        <w:tc>
          <w:tcPr>
            <w:tcW w:type="dxa" w:w="116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Faible</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F6E56"/>
                <w:sz w:val="18"/>
                <w:szCs w:val="18"/>
              </w:rPr>
              <w:t xml:space="preserve">F06</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Seuil alerte configurable</w:t>
            </w:r>
          </w:p>
        </w:tc>
        <w:tc>
          <w:tcPr>
            <w:tcW w:type="dxa" w:w="4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L’enfant règle le seuil 0-100 (défaut 60) via dashboard Nuxt</w:t>
            </w:r>
          </w:p>
        </w:tc>
        <w:tc>
          <w:tcPr>
            <w:tcW w:type="dxa" w:w="110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MVP</w:t>
            </w:r>
          </w:p>
        </w:tc>
        <w:tc>
          <w:tcPr>
            <w:tcW w:type="dxa" w:w="116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Faible</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F6E56"/>
                <w:sz w:val="18"/>
                <w:szCs w:val="18"/>
              </w:rPr>
              <w:t xml:space="preserve">F07</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Alerte email Resend</w:t>
            </w:r>
          </w:p>
        </w:tc>
        <w:tc>
          <w:tcPr>
            <w:tcW w:type="dxa" w:w="4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Email structuré à l’enfant : objet, score visuel, explication, conseils</w:t>
            </w:r>
          </w:p>
        </w:tc>
        <w:tc>
          <w:tcPr>
            <w:tcW w:type="dxa" w:w="110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MVP</w:t>
            </w:r>
          </w:p>
        </w:tc>
        <w:tc>
          <w:tcPr>
            <w:tcW w:type="dxa" w:w="116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Faible</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F6E56"/>
                <w:sz w:val="18"/>
                <w:szCs w:val="18"/>
              </w:rPr>
              <w:t xml:space="preserve">F08</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Dashboard Nuxt</w:t>
            </w:r>
          </w:p>
        </w:tc>
        <w:tc>
          <w:tcPr>
            <w:tcW w:type="dxa" w:w="4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Liste des emails analysés, tri par risque, code couleur</w:t>
            </w:r>
          </w:p>
        </w:tc>
        <w:tc>
          <w:tcPr>
            <w:tcW w:type="dxa" w:w="110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MVP</w:t>
            </w:r>
          </w:p>
        </w:tc>
        <w:tc>
          <w:tcPr>
            <w:tcW w:type="dxa" w:w="116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tcPr>
          <w:p>
            <w:pPr>
              <w:jc w:val="center"/>
            </w:pPr>
            <w:r>
              <w:rPr>
                <w:rFonts w:ascii="Arial" w:cs="Arial" w:eastAsia="Arial" w:hAnsi="Arial"/>
                <w:b/>
                <w:bCs/>
                <w:color w:val="BA7517"/>
                <w:sz w:val="18"/>
                <w:szCs w:val="18"/>
              </w:rPr>
              <w:t xml:space="preserve">Moyenne</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F6E56"/>
                <w:sz w:val="18"/>
                <w:szCs w:val="18"/>
              </w:rPr>
              <w:t xml:space="preserve">F09</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Détail analyse</w:t>
            </w:r>
          </w:p>
        </w:tc>
        <w:tc>
          <w:tcPr>
            <w:tcW w:type="dxa" w:w="4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Vue détail email : score, catégorie, explication IA, conseils à donner</w:t>
            </w:r>
          </w:p>
        </w:tc>
        <w:tc>
          <w:tcPr>
            <w:tcW w:type="dxa" w:w="110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MVP</w:t>
            </w:r>
          </w:p>
        </w:tc>
        <w:tc>
          <w:tcPr>
            <w:tcW w:type="dxa" w:w="116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Faible</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F6E56"/>
                <w:sz w:val="18"/>
                <w:szCs w:val="18"/>
              </w:rPr>
              <w:t xml:space="preserve">F10</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Abonnement Stripe</w:t>
            </w:r>
          </w:p>
        </w:tc>
        <w:tc>
          <w:tcPr>
            <w:tcW w:type="dxa" w:w="4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Paiement mensuel, gestion via webhook Adonis, activation auto</w:t>
            </w:r>
          </w:p>
        </w:tc>
        <w:tc>
          <w:tcPr>
            <w:tcW w:type="dxa" w:w="110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MVP</w:t>
            </w:r>
          </w:p>
        </w:tc>
        <w:tc>
          <w:tcPr>
            <w:tcW w:type="dxa" w:w="116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tcPr>
          <w:p>
            <w:pPr>
              <w:jc w:val="center"/>
            </w:pPr>
            <w:r>
              <w:rPr>
                <w:rFonts w:ascii="Arial" w:cs="Arial" w:eastAsia="Arial" w:hAnsi="Arial"/>
                <w:b/>
                <w:bCs/>
                <w:color w:val="BA7517"/>
                <w:sz w:val="18"/>
                <w:szCs w:val="18"/>
              </w:rPr>
              <w:t xml:space="preserve">Moyenne</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F6E56"/>
                <w:sz w:val="18"/>
                <w:szCs w:val="18"/>
              </w:rPr>
              <w:t xml:space="preserve">F11</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Pause surveillance</w:t>
            </w:r>
          </w:p>
        </w:tc>
        <w:tc>
          <w:tcPr>
            <w:tcW w:type="dxa" w:w="4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Toggle actif/pause par senior, stoppe le worker pour ce compte</w:t>
            </w:r>
          </w:p>
        </w:tc>
        <w:tc>
          <w:tcPr>
            <w:tcW w:type="dxa" w:w="110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MVP</w:t>
            </w:r>
          </w:p>
        </w:tc>
        <w:tc>
          <w:tcPr>
            <w:tcW w:type="dxa" w:w="116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Faible</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F6E56"/>
                <w:sz w:val="18"/>
                <w:szCs w:val="18"/>
              </w:rPr>
              <w:t xml:space="preserve">F12</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Révocation OAuth</w:t>
            </w:r>
          </w:p>
        </w:tc>
        <w:tc>
          <w:tcPr>
            <w:tcW w:type="dxa" w:w="4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Déconnexion propre : révocation Google + suppression token BDD</w:t>
            </w:r>
          </w:p>
        </w:tc>
        <w:tc>
          <w:tcPr>
            <w:tcW w:type="dxa" w:w="110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MVP</w:t>
            </w:r>
          </w:p>
        </w:tc>
        <w:tc>
          <w:tcPr>
            <w:tcW w:type="dxa" w:w="116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Faible</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F6E56"/>
                <w:sz w:val="18"/>
                <w:szCs w:val="18"/>
              </w:rPr>
              <w:t xml:space="preserve">F13</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Push notifications</w:t>
            </w:r>
          </w:p>
        </w:tc>
        <w:tc>
          <w:tcPr>
            <w:tcW w:type="dxa" w:w="4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PWA ou service push via Nuxt pour alertes mobile en temps réel</w:t>
            </w:r>
          </w:p>
        </w:tc>
        <w:tc>
          <w:tcPr>
            <w:tcW w:type="dxa" w:w="11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tcPr>
          <w:p>
            <w:pPr>
              <w:jc w:val="center"/>
            </w:pPr>
            <w:r>
              <w:rPr>
                <w:rFonts w:ascii="Arial" w:cs="Arial" w:eastAsia="Arial" w:hAnsi="Arial"/>
                <w:b/>
                <w:bCs/>
                <w:color w:val="BA7517"/>
                <w:sz w:val="18"/>
                <w:szCs w:val="18"/>
              </w:rPr>
              <w:t xml:space="preserve">V2</w:t>
            </w:r>
          </w:p>
        </w:tc>
        <w:tc>
          <w:tcPr>
            <w:tcW w:type="dxa" w:w="116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tcPr>
          <w:p>
            <w:pPr>
              <w:jc w:val="center"/>
            </w:pPr>
            <w:r>
              <w:rPr>
                <w:rFonts w:ascii="Arial" w:cs="Arial" w:eastAsia="Arial" w:hAnsi="Arial"/>
                <w:b/>
                <w:bCs/>
                <w:color w:val="BA7517"/>
                <w:sz w:val="18"/>
                <w:szCs w:val="18"/>
              </w:rPr>
              <w:t xml:space="preserve">Moyenne</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F6E56"/>
                <w:sz w:val="18"/>
                <w:szCs w:val="18"/>
              </w:rPr>
              <w:t xml:space="preserve">F14</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Résumé hebdo senior</w:t>
            </w:r>
          </w:p>
        </w:tc>
        <w:tc>
          <w:tcPr>
            <w:tcW w:type="dxa" w:w="4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Email optionnel senior : « X alertes cette semaine »</w:t>
            </w:r>
          </w:p>
        </w:tc>
        <w:tc>
          <w:tcPr>
            <w:tcW w:type="dxa" w:w="11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tcPr>
          <w:p>
            <w:pPr>
              <w:jc w:val="center"/>
            </w:pPr>
            <w:r>
              <w:rPr>
                <w:rFonts w:ascii="Arial" w:cs="Arial" w:eastAsia="Arial" w:hAnsi="Arial"/>
                <w:b/>
                <w:bCs/>
                <w:color w:val="BA7517"/>
                <w:sz w:val="18"/>
                <w:szCs w:val="18"/>
              </w:rPr>
              <w:t xml:space="preserve">V2</w:t>
            </w:r>
          </w:p>
        </w:tc>
        <w:tc>
          <w:tcPr>
            <w:tcW w:type="dxa" w:w="116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Faible</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F6E56"/>
                <w:sz w:val="18"/>
                <w:szCs w:val="18"/>
              </w:rPr>
              <w:t xml:space="preserve">F15</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Multi-seniors</w:t>
            </w:r>
          </w:p>
        </w:tc>
        <w:tc>
          <w:tcPr>
            <w:tcW w:type="dxa" w:w="4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Un compte enfant → plusieurs adresses surveillées</w:t>
            </w:r>
          </w:p>
        </w:tc>
        <w:tc>
          <w:tcPr>
            <w:tcW w:type="dxa" w:w="11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tcPr>
          <w:p>
            <w:pPr>
              <w:jc w:val="center"/>
            </w:pPr>
            <w:r>
              <w:rPr>
                <w:rFonts w:ascii="Arial" w:cs="Arial" w:eastAsia="Arial" w:hAnsi="Arial"/>
                <w:b/>
                <w:bCs/>
                <w:color w:val="BA7517"/>
                <w:sz w:val="18"/>
                <w:szCs w:val="18"/>
              </w:rPr>
              <w:t xml:space="preserve">V2</w:t>
            </w:r>
          </w:p>
        </w:tc>
        <w:tc>
          <w:tcPr>
            <w:tcW w:type="dxa" w:w="116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Faible</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F6E56"/>
                <w:sz w:val="18"/>
                <w:szCs w:val="18"/>
              </w:rPr>
              <w:t xml:space="preserve">F16</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Expéditeurs de confiance</w:t>
            </w:r>
          </w:p>
        </w:tc>
        <w:tc>
          <w:tcPr>
            <w:tcW w:type="dxa" w:w="4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Liste blanche : certains expéditeurs toujours ignorés</w:t>
            </w:r>
          </w:p>
        </w:tc>
        <w:tc>
          <w:tcPr>
            <w:tcW w:type="dxa" w:w="11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tcPr>
          <w:p>
            <w:pPr>
              <w:jc w:val="center"/>
            </w:pPr>
            <w:r>
              <w:rPr>
                <w:rFonts w:ascii="Arial" w:cs="Arial" w:eastAsia="Arial" w:hAnsi="Arial"/>
                <w:b/>
                <w:bCs/>
                <w:color w:val="BA7517"/>
                <w:sz w:val="18"/>
                <w:szCs w:val="18"/>
              </w:rPr>
              <w:t xml:space="preserve">V2</w:t>
            </w:r>
          </w:p>
        </w:tc>
        <w:tc>
          <w:tcPr>
            <w:tcW w:type="dxa" w:w="116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tcPr>
          <w:p>
            <w:pPr>
              <w:jc w:val="center"/>
            </w:pPr>
            <w:r>
              <w:rPr>
                <w:rFonts w:ascii="Arial" w:cs="Arial" w:eastAsia="Arial" w:hAnsi="Arial"/>
                <w:b/>
                <w:bCs/>
                <w:color w:val="BA7517"/>
                <w:sz w:val="18"/>
                <w:szCs w:val="18"/>
              </w:rPr>
              <w:t xml:space="preserve">Moyenne</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F6E56"/>
                <w:sz w:val="18"/>
                <w:szCs w:val="18"/>
              </w:rPr>
              <w:t xml:space="preserve">F17</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Rapport mensuel PDF</w:t>
            </w:r>
          </w:p>
        </w:tc>
        <w:tc>
          <w:tcPr>
            <w:tcW w:type="dxa" w:w="4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Bilan des menaces, généré par Adonis, envoyé via Resend</w:t>
            </w:r>
          </w:p>
        </w:tc>
        <w:tc>
          <w:tcPr>
            <w:tcW w:type="dxa" w:w="1100"/>
            <w:tcBorders>
              <w:top w:val="single" w:color="CCCCCC" w:sz="1"/>
              <w:left w:val="single" w:color="CCCCCC" w:sz="1"/>
              <w:bottom w:val="single" w:color="CCCCCC" w:sz="1"/>
              <w:right w:val="single" w:color="CCCCCC" w:sz="1"/>
            </w:tcBorders>
            <w:shd w:fill="F1EFE8" w:val="clear"/>
            <w:tcMar>
              <w:top w:type="dxa" w:w="80"/>
              <w:left w:type="dxa" w:w="100"/>
              <w:bottom w:type="dxa" w:w="80"/>
              <w:right w:type="dxa" w:w="100"/>
            </w:tcMar>
          </w:tcPr>
          <w:p>
            <w:pPr>
              <w:jc w:val="center"/>
            </w:pPr>
            <w:r>
              <w:rPr>
                <w:rFonts w:ascii="Arial" w:cs="Arial" w:eastAsia="Arial" w:hAnsi="Arial"/>
                <w:b/>
                <w:bCs/>
                <w:color w:val="888888"/>
                <w:sz w:val="18"/>
                <w:szCs w:val="18"/>
              </w:rPr>
              <w:t xml:space="preserve">V3</w:t>
            </w:r>
          </w:p>
        </w:tc>
        <w:tc>
          <w:tcPr>
            <w:tcW w:type="dxa" w:w="116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tcPr>
          <w:p>
            <w:pPr>
              <w:jc w:val="center"/>
            </w:pPr>
            <w:r>
              <w:rPr>
                <w:rFonts w:ascii="Arial" w:cs="Arial" w:eastAsia="Arial" w:hAnsi="Arial"/>
                <w:b/>
                <w:bCs/>
                <w:color w:val="BA7517"/>
                <w:sz w:val="18"/>
                <w:szCs w:val="18"/>
              </w:rPr>
              <w:t xml:space="preserve">Moyenne</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F6E56"/>
                <w:sz w:val="18"/>
                <w:szCs w:val="18"/>
              </w:rPr>
              <w:t xml:space="preserve">F18</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8"/>
                <w:szCs w:val="18"/>
              </w:rPr>
              <w:t xml:space="preserve">Extension SMS Android</w:t>
            </w:r>
          </w:p>
        </w:tc>
        <w:tc>
          <w:tcPr>
            <w:tcW w:type="dxa" w:w="4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8"/>
                <w:szCs w:val="18"/>
              </w:rPr>
              <w:t xml:space="preserve">Surveillance SMS via app Android native (scope élargi)</w:t>
            </w:r>
          </w:p>
        </w:tc>
        <w:tc>
          <w:tcPr>
            <w:tcW w:type="dxa" w:w="1100"/>
            <w:tcBorders>
              <w:top w:val="single" w:color="CCCCCC" w:sz="1"/>
              <w:left w:val="single" w:color="CCCCCC" w:sz="1"/>
              <w:bottom w:val="single" w:color="CCCCCC" w:sz="1"/>
              <w:right w:val="single" w:color="CCCCCC" w:sz="1"/>
            </w:tcBorders>
            <w:shd w:fill="F1EFE8" w:val="clear"/>
            <w:tcMar>
              <w:top w:type="dxa" w:w="80"/>
              <w:left w:type="dxa" w:w="100"/>
              <w:bottom w:type="dxa" w:w="80"/>
              <w:right w:type="dxa" w:w="100"/>
            </w:tcMar>
          </w:tcPr>
          <w:p>
            <w:pPr>
              <w:jc w:val="center"/>
            </w:pPr>
            <w:r>
              <w:rPr>
                <w:rFonts w:ascii="Arial" w:cs="Arial" w:eastAsia="Arial" w:hAnsi="Arial"/>
                <w:b/>
                <w:bCs/>
                <w:color w:val="888888"/>
                <w:sz w:val="18"/>
                <w:szCs w:val="18"/>
              </w:rPr>
              <w:t xml:space="preserve">V3</w:t>
            </w:r>
          </w:p>
        </w:tc>
        <w:tc>
          <w:tcPr>
            <w:tcW w:type="dxa" w:w="116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tcPr>
          <w:p>
            <w:pPr>
              <w:jc w:val="center"/>
            </w:pPr>
            <w:r>
              <w:rPr>
                <w:rFonts w:ascii="Arial" w:cs="Arial" w:eastAsia="Arial" w:hAnsi="Arial"/>
                <w:b/>
                <w:bCs/>
                <w:color w:val="A32D2D"/>
                <w:sz w:val="18"/>
                <w:szCs w:val="18"/>
              </w:rPr>
              <w:t xml:space="preserve">Elevée</w:t>
            </w:r>
          </w:p>
        </w:tc>
      </w:tr>
    </w:tbl>
    <w:p>
      <w:pPr>
        <w:pBdr>
          <w:bottom w:val="single" w:color="DDDDDD" w:sz="4"/>
        </w:pBdr>
        <w:spacing w:after="200" w:before="200"/>
      </w:pPr>
      <w:r>
        <w:t xml:space="preserve"/>
      </w:r>
    </w:p>
    <w:p>
      <w:pPr>
        <w:pStyle w:val="Heading1"/>
        <w:spacing w:after="160" w:before="400"/>
      </w:pPr>
      <w:r>
        <w:rPr>
          <w:rFonts w:ascii="Arial" w:cs="Arial" w:eastAsia="Arial" w:hAnsi="Arial"/>
          <w:b/>
          <w:bCs/>
          <w:color w:val="0F6E56"/>
          <w:sz w:val="36"/>
          <w:szCs w:val="36"/>
        </w:rPr>
        <w:t xml:space="preserve">5. Prompt système — API Anthropic Claude</w:t>
      </w:r>
    </w:p>
    <w:p>
      <w:pPr>
        <w:spacing w:after="80" w:before="80"/>
      </w:pPr>
      <w:r>
        <w:rPr>
          <w:rFonts w:ascii="Arial" w:cs="Arial" w:eastAsia="Arial" w:hAnsi="Arial"/>
          <w:color w:val="1A1A1A"/>
          <w:sz w:val="22"/>
          <w:szCs w:val="22"/>
        </w:rPr>
        <w:t xml:space="preserve">Ce prompt est injecté dans chaque appel API depuis le worker Adonis. Il est conçu pour retourner un JSON strict, directement déserialisable par Lucid/TypeScript sans post-traitement.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160"/>
              <w:left w:type="dxa" w:w="200"/>
              <w:bottom w:type="dxa" w:w="160"/>
              <w:right w:type="dxa" w:w="200"/>
            </w:tcMar>
          </w:tcPr>
          <w:p>
            <w:pPr>
              <w:spacing w:after="0" w:before="0"/>
            </w:pPr>
            <w:r>
              <w:rPr>
                <w:rFonts w:ascii="Arial" w:cs="Arial" w:eastAsia="Arial" w:hAnsi="Arial"/>
                <w:b w:val="false"/>
                <w:bCs w:val="false"/>
                <w:color w:val="1A1A1A"/>
                <w:sz w:val="22"/>
                <w:szCs w:val="22"/>
              </w:rPr>
              <w:t xml:space="preserve">SYSTEM PROMPT :
Tu es Sentinelle, un analyseur expert en détection d’arnaques par email ciblant les personnes âgées en France.
Retourne UNIQUEMENT un objet JSON valide, sans texte avant ni après, sans balises markdown.
FORMAT STRICT :
{
  "score": [0 à 100],
  "categorie": "[voir liste ci-dessous]",
  "niveau": "[bas | moyen | eleve | critique]",
  "explication": "[1 phrase max, français simple, compréhensible par un non-technicien]",
  "conseil_enfant": "[action concrète à faire ou dire au senior]",
  "indicateurs": ["signal1", "signal2"]
}
CATEGORIES : legitime | phishing | arnaque_financiere | usurpation_identite |
urgence_familiale | demarchage_abusif | malware | spam | inconnu
SCORE : 0-20 sûr | 21-40 faible risque | 41-60 modéré | 61-80 élevé | 81-100 critique
INDICES À ANALYSER : urgence exagérée, demande d’infos bancaires, liens suspects,
usurpation organisme officiel (CPAM/impôts/banque/police), promesses irréalistes,
demande de virement urgent, fausse détresse d’un proche, pression temporelle.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60"/>
              <w:left w:type="dxa" w:w="200"/>
              <w:bottom w:type="dxa" w:w="160"/>
              <w:right w:type="dxa" w:w="200"/>
            </w:tcMar>
          </w:tcPr>
          <w:p>
            <w:pPr>
              <w:spacing w:after="0" w:before="0"/>
            </w:pPr>
            <w:r>
              <w:rPr>
                <w:rFonts w:ascii="Arial" w:cs="Arial" w:eastAsia="Arial" w:hAnsi="Arial"/>
                <w:b w:val="false"/>
                <w:bCs w:val="false"/>
                <w:color w:val="633806"/>
                <w:sz w:val="22"/>
                <w:szCs w:val="22"/>
              </w:rPr>
              <w:t xml:space="preserve">USER MESSAGE (injecté dynamiquement par le worker Adonis) :
Expéditeur : {from}
Objet : {subject}
Date : {date}
Corps (2000 premiers caractères max) :
{body_text_truncated}
Analyse cet email.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after="0" w:before="0"/>
            </w:pPr>
            <w:r>
              <w:rPr>
                <w:rFonts w:ascii="Arial" w:cs="Arial" w:eastAsia="Arial" w:hAnsi="Arial"/>
                <w:b w:val="false"/>
                <w:bCs w:val="false"/>
                <w:color w:val="085041"/>
                <w:sz w:val="22"/>
                <w:szCs w:val="22"/>
              </w:rPr>
              <w:t xml:space="preserve">Paramètres API recommandés : model: claude-sonnet-4-6 | max_tokens: 300 | temperature: 0
Avec temperature: 0, les réponses sont déterministes — essentiel pour un scoring stable.</w:t>
            </w:r>
          </w:p>
        </w:tc>
      </w:tr>
    </w:tbl>
    <w:p>
      <w:pPr>
        <w:pBdr>
          <w:bottom w:val="single" w:color="DDDDDD" w:sz="4"/>
        </w:pBdr>
        <w:spacing w:after="200" w:before="200"/>
      </w:pPr>
      <w:r>
        <w:t xml:space="preserve"/>
      </w:r>
    </w:p>
    <w:p>
      <w:pPr>
        <w:pStyle w:val="Heading1"/>
        <w:spacing w:after="160" w:before="400"/>
      </w:pPr>
      <w:r>
        <w:rPr>
          <w:rFonts w:ascii="Arial" w:cs="Arial" w:eastAsia="Arial" w:hAnsi="Arial"/>
          <w:b/>
          <w:bCs/>
          <w:color w:val="0F6E56"/>
          <w:sz w:val="36"/>
          <w:szCs w:val="36"/>
        </w:rPr>
        <w:t xml:space="preserve">6. Schéma base de données PostgreSQL + Lucid</w:t>
      </w:r>
    </w:p>
    <w:p>
      <w:pPr>
        <w:spacing w:after="80" w:before="80"/>
      </w:pPr>
      <w:r>
        <w:rPr>
          <w:rFonts w:ascii="Arial" w:cs="Arial" w:eastAsia="Arial" w:hAnsi="Arial"/>
          <w:color w:val="1A1A1A"/>
          <w:sz w:val="22"/>
          <w:szCs w:val="22"/>
        </w:rPr>
        <w:t xml:space="preserve">Migrations Adonis — créer avec : node ace make:migration nom_migration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0F6E56" w:val="clear"/>
            <w:tcMar>
              <w:top w:type="dxa" w:w="100"/>
              <w:left w:type="dxa" w:w="100"/>
              <w:bottom w:type="dxa" w:w="100"/>
              <w:right w:type="dxa" w:w="100"/>
            </w:tcMar>
          </w:tcPr>
          <w:p>
            <w:r>
              <w:rPr>
                <w:rFonts w:ascii="Arial" w:cs="Arial" w:eastAsia="Arial" w:hAnsi="Arial"/>
                <w:b/>
                <w:bCs/>
                <w:color w:val="FFFFFF"/>
                <w:sz w:val="20"/>
                <w:szCs w:val="20"/>
              </w:rPr>
              <w:t xml:space="preserve">Table</w:t>
            </w:r>
          </w:p>
        </w:tc>
        <w:tc>
          <w:tcPr>
            <w:tcW w:type="dxa" w:w="2200"/>
            <w:tcBorders>
              <w:top w:val="single" w:color="CCCCCC" w:sz="1"/>
              <w:left w:val="single" w:color="CCCCCC" w:sz="1"/>
              <w:bottom w:val="single" w:color="CCCCCC" w:sz="1"/>
              <w:right w:val="single" w:color="CCCCCC" w:sz="1"/>
            </w:tcBorders>
            <w:shd w:fill="0F6E56" w:val="clear"/>
            <w:tcMar>
              <w:top w:type="dxa" w:w="100"/>
              <w:left w:type="dxa" w:w="100"/>
              <w:bottom w:type="dxa" w:w="100"/>
              <w:right w:type="dxa" w:w="100"/>
            </w:tcMar>
          </w:tcPr>
          <w:p>
            <w:r>
              <w:rPr>
                <w:rFonts w:ascii="Arial" w:cs="Arial" w:eastAsia="Arial" w:hAnsi="Arial"/>
                <w:b/>
                <w:bCs/>
                <w:color w:val="FFFFFF"/>
                <w:sz w:val="20"/>
                <w:szCs w:val="20"/>
              </w:rPr>
              <w:t xml:space="preserve">Colonne</w:t>
            </w:r>
          </w:p>
        </w:tc>
        <w:tc>
          <w:tcPr>
            <w:tcW w:type="dxa" w:w="5360"/>
            <w:tcBorders>
              <w:top w:val="single" w:color="CCCCCC" w:sz="1"/>
              <w:left w:val="single" w:color="CCCCCC" w:sz="1"/>
              <w:bottom w:val="single" w:color="CCCCCC" w:sz="1"/>
              <w:right w:val="single" w:color="CCCCCC" w:sz="1"/>
            </w:tcBorders>
            <w:shd w:fill="0F6E56" w:val="clear"/>
            <w:tcMar>
              <w:top w:type="dxa" w:w="100"/>
              <w:left w:type="dxa" w:w="100"/>
              <w:bottom w:type="dxa" w:w="100"/>
              <w:right w:type="dxa" w:w="100"/>
            </w:tcMar>
          </w:tcPr>
          <w:p>
            <w:r>
              <w:rPr>
                <w:rFonts w:ascii="Arial" w:cs="Arial" w:eastAsia="Arial" w:hAnsi="Arial"/>
                <w:b/>
                <w:bCs/>
                <w:color w:val="FFFFFF"/>
                <w:sz w:val="20"/>
                <w:szCs w:val="20"/>
              </w:rPr>
              <w:t xml:space="preserve">Type / Contrainte / Description</w:t>
            </w:r>
          </w:p>
        </w:tc>
      </w:tr>
      <w:tr>
        <w:tc>
          <w:tcPr>
            <w:tcW w:type="dxa" w:w="18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tcPr>
          <w:p>
            <w:r>
              <w:rPr>
                <w:rFonts w:ascii="Arial" w:cs="Arial" w:eastAsia="Arial" w:hAnsi="Arial"/>
                <w:b/>
                <w:bCs/>
                <w:color w:val="085041"/>
                <w:sz w:val="18"/>
                <w:szCs w:val="18"/>
              </w:rPr>
              <w:t xml:space="preserve">users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id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uuid PRIMARY KEY DEFAULT gen_random_uuid()</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users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email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varchar(255) UNIQUE NOT NULL</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users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password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varchar(255) NOT NULL — hashé par Adonis Auth</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users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remember_me_token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varchar(255) NULL</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users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created_at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timestamp NOT NULL</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users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updated_at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timestamp NOT NULL</w:t>
            </w:r>
          </w:p>
        </w:tc>
      </w:tr>
      <w:tr>
        <w:tc>
          <w:tcPr>
            <w:tcW w:type="dxa" w:w="18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tcPr>
          <w:p>
            <w:r>
              <w:rPr>
                <w:rFonts w:ascii="Arial" w:cs="Arial" w:eastAsia="Arial" w:hAnsi="Arial"/>
                <w:b/>
                <w:bCs/>
                <w:color w:val="085041"/>
                <w:sz w:val="18"/>
                <w:szCs w:val="18"/>
              </w:rPr>
              <w:t xml:space="preserve">seniors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id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uuid PRIMARY KEY DEFAULT gen_random_uuid()</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seniors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user_id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uuid NOT NULL REFERENCES users(id) ON DELETE CASCADE</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seniors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prenom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varchar(100) NOT NULL</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seniors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gmail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varchar(255) NOT NULL</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seniors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oauth_access_token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text NULL — chiffré AES-256</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seniors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oauth_refresh_token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text NULL — chiffré AES-256</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seniors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oauth_expiry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timestamp NULL</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seniors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actif</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boolean NOT NULL DEFAULT true</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seniors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seuil_alerte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smallint NOT NULL DEFAULT 60</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seniors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last_polled_at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timestamp NULL</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seniors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created_at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timestamp NOT NULL</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seniors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updated_at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timestamp NOT NULL</w:t>
            </w:r>
          </w:p>
        </w:tc>
      </w:tr>
      <w:tr>
        <w:tc>
          <w:tcPr>
            <w:tcW w:type="dxa" w:w="18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tcPr>
          <w:p>
            <w:r>
              <w:rPr>
                <w:rFonts w:ascii="Arial" w:cs="Arial" w:eastAsia="Arial" w:hAnsi="Arial"/>
                <w:b/>
                <w:bCs/>
                <w:color w:val="085041"/>
                <w:sz w:val="18"/>
                <w:szCs w:val="18"/>
              </w:rPr>
              <w:t xml:space="preserve">email_analyses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id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uuid PRIMARY KEY DEFAULT gen_random_uuid()</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email_analyses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senior_id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uuid NOT NULL REFERENCES seniors(id) ON DELETE CASCADE</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email_analyses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gmail_message_id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varchar(255) NOT NULL UNIQUE</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email_analyses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from_email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varchar(255) NOT NULL</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email_analyses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subject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text NOT NULL</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email_analyses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date_received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timestamp NOT NULL</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email_analyses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score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smallint NOT NULL</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email_analyses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categorie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varchar(50) NOT NULL</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email_analyses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niveau</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varchar(20) NOT NULL</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email_analyses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explication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text NOT NULL</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email_analyses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conseil_enfant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text NOT NULL</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email_analyses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indicateurs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jsonb NULL</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email_analyses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alerte_envoyee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boolean NOT NULL DEFAULT false</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email_analyses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created_at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timestamp NOT NULL</w:t>
            </w:r>
          </w:p>
        </w:tc>
      </w:tr>
      <w:tr>
        <w:tc>
          <w:tcPr>
            <w:tcW w:type="dxa" w:w="18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tcPr>
          <w:p>
            <w:r>
              <w:rPr>
                <w:rFonts w:ascii="Arial" w:cs="Arial" w:eastAsia="Arial" w:hAnsi="Arial"/>
                <w:b/>
                <w:bCs/>
                <w:color w:val="085041"/>
                <w:sz w:val="18"/>
                <w:szCs w:val="18"/>
              </w:rPr>
              <w:t xml:space="preserve">subscriptions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id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uuid PRIMARY KEY DEFAULT gen_random_uuid()</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subscriptions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user_id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uuid NOT NULL REFERENCES users(id)</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subscriptions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stripe_customer_id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varchar(255) UNIQUE NOT NULL</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subscriptions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stripe_subscription_id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varchar(255) UNIQUE NULL</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subscriptions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plan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varchar(50) NOT NULL — solo | famille</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subscriptions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statut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varchar(50) NOT NULL — active | paused | cancelled</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subscriptions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current_period_end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timestamp NULL</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subscriptions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created_at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timestamp NOT NULL</w:t>
            </w:r>
          </w:p>
        </w:tc>
      </w:tr>
      <w:tr>
        <w:tc>
          <w:tcPr>
            <w:tcW w:type="dxa" w:w="1800"/>
            <w:tcBorders>
              <w:top w:val="single" w:color="CCCCCC" w:sz="1"/>
              <w:left w:val="single" w:color="CCCCCC" w:sz="1"/>
              <w:bottom w:val="single" w:color="CCCCCC" w:sz="1"/>
              <w:right w:val="single" w:color="CCCCCC" w:sz="1"/>
            </w:tcBorders>
            <w:shd w:fill="FAFAF9" w:val="clear"/>
            <w:tcMar>
              <w:top w:type="dxa" w:w="60"/>
              <w:left w:type="dxa" w:w="100"/>
              <w:bottom w:type="dxa" w:w="60"/>
              <w:right w:type="dxa" w:w="100"/>
            </w:tcMar>
          </w:tcPr>
          <w:p>
            <w:r>
              <w:rPr>
                <w:rFonts w:ascii="Arial" w:cs="Arial" w:eastAsia="Arial" w:hAnsi="Arial"/>
                <w:b w:val="false"/>
                <w:bCs w:val="false"/>
                <w:color w:val="888888"/>
                <w:sz w:val="18"/>
                <w:szCs w:val="18"/>
              </w:rPr>
              <w:t xml:space="preserve">subscriptions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0F6E56"/>
                <w:sz w:val="18"/>
                <w:szCs w:val="18"/>
              </w:rPr>
              <w:t xml:space="preserve">updated_at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timestamp NOT NULL</w:t>
            </w:r>
          </w:p>
        </w:tc>
      </w:tr>
    </w:tbl>
    <w:p>
      <w:pPr>
        <w:pBdr>
          <w:bottom w:val="single" w:color="DDDDDD" w:sz="4"/>
        </w:pBdr>
        <w:spacing w:after="200" w:before="200"/>
      </w:pPr>
      <w:r>
        <w:t xml:space="preserve"/>
      </w:r>
    </w:p>
    <w:p>
      <w:pPr>
        <w:pStyle w:val="Heading1"/>
        <w:spacing w:after="160" w:before="400"/>
      </w:pPr>
      <w:r>
        <w:rPr>
          <w:rFonts w:ascii="Arial" w:cs="Arial" w:eastAsia="Arial" w:hAnsi="Arial"/>
          <w:b/>
          <w:bCs/>
          <w:color w:val="0F6E56"/>
          <w:sz w:val="36"/>
          <w:szCs w:val="36"/>
        </w:rPr>
        <w:t xml:space="preserve">7. Modèle économique</w:t>
      </w:r>
    </w:p>
    <w:p>
      <w:pPr>
        <w:pStyle w:val="Heading2"/>
        <w:spacing w:after="120" w:before="300"/>
      </w:pPr>
      <w:r>
        <w:rPr>
          <w:rFonts w:ascii="Arial" w:cs="Arial" w:eastAsia="Arial" w:hAnsi="Arial"/>
          <w:b/>
          <w:bCs/>
          <w:color w:val="1A1A1A"/>
          <w:sz w:val="28"/>
          <w:szCs w:val="28"/>
        </w:rPr>
        <w:t xml:space="preserve">7.1 Tarification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rPr>
          <w:tblHeader/>
        </w:trPr>
        <w:tc>
          <w:tcPr>
            <w:tcW w:type="dxa" w:w="2800"/>
            <w:tcBorders>
              <w:top w:val="single" w:color="CCCCCC" w:sz="1"/>
              <w:left w:val="single" w:color="CCCCCC" w:sz="1"/>
              <w:bottom w:val="single" w:color="CCCCCC" w:sz="1"/>
              <w:right w:val="single" w:color="CCCCCC" w:sz="1"/>
            </w:tcBorders>
            <w:shd w:fill="0F6E56" w:val="clear"/>
            <w:tcMar>
              <w:top w:type="dxa" w:w="100"/>
              <w:left w:type="dxa" w:w="100"/>
              <w:bottom w:type="dxa" w:w="100"/>
              <w:right w:type="dxa" w:w="100"/>
            </w:tcMar>
          </w:tcPr>
          <w:p>
            <w:r>
              <w:rPr>
                <w:rFonts w:ascii="Arial" w:cs="Arial" w:eastAsia="Arial" w:hAnsi="Arial"/>
                <w:b/>
                <w:bCs/>
                <w:color w:val="FFFFFF"/>
                <w:sz w:val="20"/>
                <w:szCs w:val="20"/>
              </w:rPr>
              <w:t xml:space="preserve">Plan</w:t>
            </w:r>
          </w:p>
        </w:tc>
        <w:tc>
          <w:tcPr>
            <w:tcW w:type="dxa" w:w="2280"/>
            <w:tcBorders>
              <w:top w:val="single" w:color="CCCCCC" w:sz="1"/>
              <w:left w:val="single" w:color="CCCCCC" w:sz="1"/>
              <w:bottom w:val="single" w:color="CCCCCC" w:sz="1"/>
              <w:right w:val="single" w:color="CCCCCC" w:sz="1"/>
            </w:tcBorders>
            <w:shd w:fill="0F6E56" w:val="clear"/>
            <w:tcMar>
              <w:top w:type="dxa" w:w="100"/>
              <w:left w:type="dxa" w:w="100"/>
              <w:bottom w:type="dxa" w:w="100"/>
              <w:right w:type="dxa" w:w="100"/>
            </w:tcMar>
          </w:tcPr>
          <w:p>
            <w:r>
              <w:rPr>
                <w:rFonts w:ascii="Arial" w:cs="Arial" w:eastAsia="Arial" w:hAnsi="Arial"/>
                <w:b/>
                <w:bCs/>
                <w:color w:val="FFFFFF"/>
                <w:sz w:val="20"/>
                <w:szCs w:val="20"/>
              </w:rPr>
              <w:t xml:space="preserve">Prix</w:t>
            </w:r>
          </w:p>
        </w:tc>
        <w:tc>
          <w:tcPr>
            <w:tcW w:type="dxa" w:w="4280"/>
            <w:tcBorders>
              <w:top w:val="single" w:color="CCCCCC" w:sz="1"/>
              <w:left w:val="single" w:color="CCCCCC" w:sz="1"/>
              <w:bottom w:val="single" w:color="CCCCCC" w:sz="1"/>
              <w:right w:val="single" w:color="CCCCCC" w:sz="1"/>
            </w:tcBorders>
            <w:shd w:fill="0F6E56" w:val="clear"/>
            <w:tcMar>
              <w:top w:type="dxa" w:w="100"/>
              <w:left w:type="dxa" w:w="100"/>
              <w:bottom w:type="dxa" w:w="100"/>
              <w:right w:type="dxa" w:w="100"/>
            </w:tcMar>
          </w:tcPr>
          <w:p>
            <w:r>
              <w:rPr>
                <w:rFonts w:ascii="Arial" w:cs="Arial" w:eastAsia="Arial" w:hAnsi="Arial"/>
                <w:b/>
                <w:bCs/>
                <w:color w:val="FFFFFF"/>
                <w:sz w:val="20"/>
                <w:szCs w:val="20"/>
              </w:rPr>
              <w:t xml:space="preserve">Inclus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6E56"/>
                <w:sz w:val="22"/>
                <w:szCs w:val="22"/>
              </w:rPr>
              <w:t xml:space="preserve">Solo Senior</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2"/>
                <w:szCs w:val="22"/>
              </w:rPr>
              <w:t xml:space="preserve">7,90 € / mois</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 adresse Gmail surveillée, alertes email illimitées</w:t>
            </w:r>
          </w:p>
        </w:tc>
      </w:tr>
      <w:tr>
        <w:tc>
          <w:tcPr>
            <w:tcW w:type="dxa" w:w="28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F6E56"/>
                <w:sz w:val="22"/>
                <w:szCs w:val="22"/>
              </w:rPr>
              <w:t xml:space="preserve">Famille (recommandé)</w:t>
            </w:r>
          </w:p>
        </w:tc>
        <w:tc>
          <w:tcPr>
            <w:tcW w:type="dxa" w:w="228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sz w:val="22"/>
                <w:szCs w:val="22"/>
              </w:rPr>
              <w:t xml:space="preserve">12,90 € / mois</w:t>
            </w:r>
          </w:p>
        </w:tc>
        <w:tc>
          <w:tcPr>
            <w:tcW w:type="dxa" w:w="428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sz w:val="20"/>
                <w:szCs w:val="20"/>
              </w:rPr>
              <w:t xml:space="preserve">Jusqu’à 3 adresses (parents + beaux-parents)</w:t>
            </w:r>
          </w:p>
        </w:tc>
      </w:tr>
    </w:tbl>
    <w:p>
      <w:pPr>
        <w:spacing w:after="0" w:before="160"/>
      </w:pPr>
      <w:r>
        <w:t xml:space="preserve"/>
      </w:r>
    </w:p>
    <w:p>
      <w:pPr>
        <w:pStyle w:val="Heading2"/>
        <w:spacing w:after="120" w:before="300"/>
      </w:pPr>
      <w:r>
        <w:rPr>
          <w:rFonts w:ascii="Arial" w:cs="Arial" w:eastAsia="Arial" w:hAnsi="Arial"/>
          <w:b/>
          <w:bCs/>
          <w:color w:val="1A1A1A"/>
          <w:sz w:val="28"/>
          <w:szCs w:val="28"/>
        </w:rPr>
        <w:t xml:space="preserve">7.2 Estimation des coûts opérationnels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Coût API Claude / senior</w:t>
            </w:r>
          </w:p>
        </w:tc>
        <w:tc>
          <w:tcPr>
            <w:tcW w:type="dxa" w:w="6860"/>
            <w:tcBorders>
              <w:top w:val="none" w:color="FFFFFF" w:sz="0"/>
              <w:left w:val="none" w:color="FFFFFF" w:sz="0"/>
              <w:bottom w:val="none" w:color="FFFFFF" w:sz="0"/>
              <w:right w:val="none" w:color="FFFFFF" w:sz="0"/>
            </w:tcBorders>
            <w:shd w:fill="FAFAF9" w:val="clear"/>
            <w:tcMar>
              <w:top w:type="dxa" w:w="80"/>
              <w:left w:type="dxa" w:w="120"/>
              <w:bottom w:type="dxa" w:w="80"/>
              <w:right w:type="dxa" w:w="120"/>
            </w:tcMar>
          </w:tcPr>
          <w:p>
            <w:r>
              <w:rPr>
                <w:rFonts w:ascii="Arial" w:cs="Arial" w:eastAsia="Arial" w:hAnsi="Arial"/>
                <w:color w:val="1A1A1A"/>
                <w:sz w:val="20"/>
                <w:szCs w:val="20"/>
              </w:rPr>
              <w:t xml:space="preserve">~600 emails/mois × 0,003 € = ~1,80 €/mois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Coût VPS Hetzner</w:t>
            </w:r>
          </w:p>
        </w:tc>
        <w:tc>
          <w:tcPr>
            <w:tcW w:type="dxa" w:w="6860"/>
            <w:tcBorders>
              <w:top w:val="none" w:color="FFFFFF" w:sz="0"/>
              <w:left w:val="none" w:color="FFFFFF" w:sz="0"/>
              <w:bottom w:val="none" w:color="FFFFFF" w:sz="0"/>
              <w:right w:val="none" w:color="FFFFFF" w:sz="0"/>
            </w:tcBorders>
            <w:shd w:fill="FAFAF9" w:val="clear"/>
            <w:tcMar>
              <w:top w:type="dxa" w:w="80"/>
              <w:left w:type="dxa" w:w="120"/>
              <w:bottom w:type="dxa" w:w="80"/>
              <w:right w:type="dxa" w:w="120"/>
            </w:tcMar>
          </w:tcPr>
          <w:p>
            <w:r>
              <w:rPr>
                <w:rFonts w:ascii="Arial" w:cs="Arial" w:eastAsia="Arial" w:hAnsi="Arial"/>
                <w:color w:val="1A1A1A"/>
                <w:sz w:val="20"/>
                <w:szCs w:val="20"/>
              </w:rPr>
              <w:t xml:space="preserve">~8-15 €/mois (partagé avec Tunelab)</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Vercel (frontend)</w:t>
            </w:r>
          </w:p>
        </w:tc>
        <w:tc>
          <w:tcPr>
            <w:tcW w:type="dxa" w:w="6860"/>
            <w:tcBorders>
              <w:top w:val="none" w:color="FFFFFF" w:sz="0"/>
              <w:left w:val="none" w:color="FFFFFF" w:sz="0"/>
              <w:bottom w:val="none" w:color="FFFFFF" w:sz="0"/>
              <w:right w:val="none" w:color="FFFFFF" w:sz="0"/>
            </w:tcBorders>
            <w:shd w:fill="FAFAF9" w:val="clear"/>
            <w:tcMar>
              <w:top w:type="dxa" w:w="80"/>
              <w:left w:type="dxa" w:w="120"/>
              <w:bottom w:type="dxa" w:w="80"/>
              <w:right w:type="dxa" w:w="120"/>
            </w:tcMar>
          </w:tcPr>
          <w:p>
            <w:r>
              <w:rPr>
                <w:rFonts w:ascii="Arial" w:cs="Arial" w:eastAsia="Arial" w:hAnsi="Arial"/>
                <w:color w:val="1A1A1A"/>
                <w:sz w:val="20"/>
                <w:szCs w:val="20"/>
              </w:rPr>
              <w:t xml:space="preserve">Gratuit jusqu’à 100 Go bande passante/mois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Resend (emails)</w:t>
            </w:r>
          </w:p>
        </w:tc>
        <w:tc>
          <w:tcPr>
            <w:tcW w:type="dxa" w:w="6860"/>
            <w:tcBorders>
              <w:top w:val="none" w:color="FFFFFF" w:sz="0"/>
              <w:left w:val="none" w:color="FFFFFF" w:sz="0"/>
              <w:bottom w:val="none" w:color="FFFFFF" w:sz="0"/>
              <w:right w:val="none" w:color="FFFFFF" w:sz="0"/>
            </w:tcBorders>
            <w:shd w:fill="FAFAF9" w:val="clear"/>
            <w:tcMar>
              <w:top w:type="dxa" w:w="80"/>
              <w:left w:type="dxa" w:w="120"/>
              <w:bottom w:type="dxa" w:w="80"/>
              <w:right w:type="dxa" w:w="120"/>
            </w:tcMar>
          </w:tcPr>
          <w:p>
            <w:r>
              <w:rPr>
                <w:rFonts w:ascii="Arial" w:cs="Arial" w:eastAsia="Arial" w:hAnsi="Arial"/>
                <w:color w:val="1A1A1A"/>
                <w:sz w:val="20"/>
                <w:szCs w:val="20"/>
              </w:rPr>
              <w:t xml:space="preserve">Gratuit jusqu’à 3 000 emails/mois, puis 1 €/1 000</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Marge brute estimée</w:t>
            </w:r>
          </w:p>
        </w:tc>
        <w:tc>
          <w:tcPr>
            <w:tcW w:type="dxa" w:w="6860"/>
            <w:tcBorders>
              <w:top w:val="none" w:color="FFFFFF" w:sz="0"/>
              <w:left w:val="none" w:color="FFFFFF" w:sz="0"/>
              <w:bottom w:val="none" w:color="FFFFFF" w:sz="0"/>
              <w:right w:val="none" w:color="FFFFFF" w:sz="0"/>
            </w:tcBorders>
            <w:shd w:fill="FAFAF9" w:val="clear"/>
            <w:tcMar>
              <w:top w:type="dxa" w:w="80"/>
              <w:left w:type="dxa" w:w="120"/>
              <w:bottom w:type="dxa" w:w="80"/>
              <w:right w:type="dxa" w:w="120"/>
            </w:tcMar>
          </w:tcPr>
          <w:p>
            <w:r>
              <w:rPr>
                <w:rFonts w:ascii="Arial" w:cs="Arial" w:eastAsia="Arial" w:hAnsi="Arial"/>
                <w:color w:val="1A1A1A"/>
                <w:sz w:val="20"/>
                <w:szCs w:val="20"/>
              </w:rPr>
              <w:t xml:space="preserve">~5,50 €/client/mois au plan Solo</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Seuil de rentabilité</w:t>
            </w:r>
          </w:p>
        </w:tc>
        <w:tc>
          <w:tcPr>
            <w:tcW w:type="dxa" w:w="6860"/>
            <w:tcBorders>
              <w:top w:val="none" w:color="FFFFFF" w:sz="0"/>
              <w:left w:val="none" w:color="FFFFFF" w:sz="0"/>
              <w:bottom w:val="none" w:color="FFFFFF" w:sz="0"/>
              <w:right w:val="none" w:color="FFFFFF" w:sz="0"/>
            </w:tcBorders>
            <w:shd w:fill="FAFAF9" w:val="clear"/>
            <w:tcMar>
              <w:top w:type="dxa" w:w="80"/>
              <w:left w:type="dxa" w:w="120"/>
              <w:bottom w:type="dxa" w:w="80"/>
              <w:right w:type="dxa" w:w="120"/>
            </w:tcMar>
          </w:tcPr>
          <w:p>
            <w:r>
              <w:rPr>
                <w:rFonts w:ascii="Arial" w:cs="Arial" w:eastAsia="Arial" w:hAnsi="Arial"/>
                <w:color w:val="1A1A1A"/>
                <w:sz w:val="20"/>
                <w:szCs w:val="20"/>
              </w:rPr>
              <w:t xml:space="preserve">~25-30 abonnements actifs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Objectif 6 mois</w:t>
            </w:r>
          </w:p>
        </w:tc>
        <w:tc>
          <w:tcPr>
            <w:tcW w:type="dxa" w:w="6860"/>
            <w:tcBorders>
              <w:top w:val="none" w:color="FFFFFF" w:sz="0"/>
              <w:left w:val="none" w:color="FFFFFF" w:sz="0"/>
              <w:bottom w:val="none" w:color="FFFFFF" w:sz="0"/>
              <w:right w:val="none" w:color="FFFFFF" w:sz="0"/>
            </w:tcBorders>
            <w:shd w:fill="FAFAF9" w:val="clear"/>
            <w:tcMar>
              <w:top w:type="dxa" w:w="80"/>
              <w:left w:type="dxa" w:w="120"/>
              <w:bottom w:type="dxa" w:w="80"/>
              <w:right w:type="dxa" w:w="120"/>
            </w:tcMar>
          </w:tcPr>
          <w:p>
            <w:r>
              <w:rPr>
                <w:rFonts w:ascii="Arial" w:cs="Arial" w:eastAsia="Arial" w:hAnsi="Arial"/>
                <w:color w:val="1A1A1A"/>
                <w:sz w:val="20"/>
                <w:szCs w:val="20"/>
              </w:rPr>
              <w:t xml:space="preserve">100 abonnements = ~790 € MRR</w:t>
            </w:r>
          </w:p>
        </w:tc>
      </w:tr>
    </w:tbl>
    <w:p>
      <w:pPr>
        <w:pBdr>
          <w:bottom w:val="single" w:color="DDDDDD" w:sz="4"/>
        </w:pBdr>
        <w:spacing w:after="200" w:before="200"/>
      </w:pPr>
      <w:r>
        <w:t xml:space="preserve"/>
      </w:r>
    </w:p>
    <w:p>
      <w:pPr>
        <w:pStyle w:val="Heading1"/>
        <w:spacing w:after="160" w:before="400"/>
      </w:pPr>
      <w:r>
        <w:rPr>
          <w:rFonts w:ascii="Arial" w:cs="Arial" w:eastAsia="Arial" w:hAnsi="Arial"/>
          <w:b/>
          <w:bCs/>
          <w:color w:val="0F6E56"/>
          <w:sz w:val="36"/>
          <w:szCs w:val="36"/>
        </w:rPr>
        <w:t xml:space="preserve">8. Roadmap de développement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0F6E56" w:val="clear"/>
            <w:tcMar>
              <w:top w:type="dxa" w:w="100"/>
              <w:left w:type="dxa" w:w="100"/>
              <w:bottom w:type="dxa" w:w="100"/>
              <w:right w:type="dxa" w:w="10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0F6E56" w:val="clear"/>
            <w:tcMar>
              <w:top w:type="dxa" w:w="100"/>
              <w:left w:type="dxa" w:w="100"/>
              <w:bottom w:type="dxa" w:w="100"/>
              <w:right w:type="dxa" w:w="100"/>
            </w:tcMar>
          </w:tcPr>
          <w:p>
            <w:r>
              <w:rPr>
                <w:rFonts w:ascii="Arial" w:cs="Arial" w:eastAsia="Arial" w:hAnsi="Arial"/>
                <w:b/>
                <w:bCs/>
                <w:color w:val="FFFFFF"/>
                <w:sz w:val="20"/>
                <w:szCs w:val="20"/>
              </w:rPr>
              <w:t xml:space="preserve">Durée</w:t>
            </w:r>
          </w:p>
        </w:tc>
        <w:tc>
          <w:tcPr>
            <w:tcW w:type="dxa" w:w="5560"/>
            <w:tcBorders>
              <w:top w:val="single" w:color="CCCCCC" w:sz="1"/>
              <w:left w:val="single" w:color="CCCCCC" w:sz="1"/>
              <w:bottom w:val="single" w:color="CCCCCC" w:sz="1"/>
              <w:right w:val="single" w:color="CCCCCC" w:sz="1"/>
            </w:tcBorders>
            <w:shd w:fill="0F6E56" w:val="clear"/>
            <w:tcMar>
              <w:top w:type="dxa" w:w="100"/>
              <w:left w:type="dxa" w:w="100"/>
              <w:bottom w:type="dxa" w:w="100"/>
              <w:right w:type="dxa" w:w="100"/>
            </w:tcMar>
          </w:tcPr>
          <w:p>
            <w:r>
              <w:rPr>
                <w:rFonts w:ascii="Arial" w:cs="Arial" w:eastAsia="Arial" w:hAnsi="Arial"/>
                <w:b/>
                <w:bCs/>
                <w:color w:val="FFFFFF"/>
                <w:sz w:val="20"/>
                <w:szCs w:val="20"/>
              </w:rPr>
              <w:t xml:space="preserve">Livraisons</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r>
              <w:rPr>
                <w:rFonts w:ascii="Arial" w:cs="Arial" w:eastAsia="Arial" w:hAnsi="Arial"/>
                <w:b/>
                <w:bCs/>
                <w:color w:val="085041"/>
                <w:sz w:val="19"/>
                <w:szCs w:val="19"/>
              </w:rPr>
              <w:t xml:space="preserve">Phase 1 — Fondations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20"/>
                <w:szCs w:val="20"/>
              </w:rPr>
              <w:t xml:space="preserve">2 semaines</w:t>
            </w:r>
          </w:p>
        </w:tc>
        <w:tc>
          <w:tcPr>
            <w:tcW w:type="dxa" w:w="5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20"/>
                <w:szCs w:val="20"/>
              </w:rPr>
              <w:t xml:space="preserve">Init Adonis 6 + PostgreSQL Hetzner, Lucid migrations, Auth JWT, init Nuxt 3 Vercel, pipeline CI/CD git</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r>
              <w:rPr>
                <w:rFonts w:ascii="Arial" w:cs="Arial" w:eastAsia="Arial" w:hAnsi="Arial"/>
                <w:b/>
                <w:bCs/>
                <w:color w:val="085041"/>
                <w:sz w:val="19"/>
                <w:szCs w:val="19"/>
              </w:rPr>
              <w:t xml:space="preserve">Phase 2 — OAuth Gmail</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20"/>
                <w:szCs w:val="20"/>
              </w:rPr>
              <w:t xml:space="preserve">1-2 semaines</w:t>
            </w:r>
          </w:p>
        </w:tc>
        <w:tc>
          <w:tcPr>
            <w:tcW w:type="dxa" w:w="5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20"/>
                <w:szCs w:val="20"/>
              </w:rPr>
              <w:t xml:space="preserve">Flow OAuth Google complet, chiffrement AES-256 tokens, stockage BDD, page activation senior simplifiée</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r>
              <w:rPr>
                <w:rFonts w:ascii="Arial" w:cs="Arial" w:eastAsia="Arial" w:hAnsi="Arial"/>
                <w:b/>
                <w:bCs/>
                <w:color w:val="085041"/>
                <w:sz w:val="19"/>
                <w:szCs w:val="19"/>
              </w:rPr>
              <w:t xml:space="preserve">Phase 3 — Worker + IA</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20"/>
                <w:szCs w:val="20"/>
              </w:rPr>
              <w:t xml:space="preserve">1-2 semaines</w:t>
            </w:r>
          </w:p>
        </w:tc>
        <w:tc>
          <w:tcPr>
            <w:tcW w:type="dxa" w:w="5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20"/>
                <w:szCs w:val="20"/>
              </w:rPr>
              <w:t xml:space="preserve">Job Adonis scheduler, Gmail API polling, appel API Claude, stockage résultats, gestion erreurs et rate limiting</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r>
              <w:rPr>
                <w:rFonts w:ascii="Arial" w:cs="Arial" w:eastAsia="Arial" w:hAnsi="Arial"/>
                <w:b/>
                <w:bCs/>
                <w:color w:val="085041"/>
                <w:sz w:val="19"/>
                <w:szCs w:val="19"/>
              </w:rPr>
              <w:t xml:space="preserve">Phase 4 — Alertes + Dashboard</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20"/>
                <w:szCs w:val="20"/>
              </w:rPr>
              <w:t xml:space="preserve">1 semaine</w:t>
            </w:r>
          </w:p>
        </w:tc>
        <w:tc>
          <w:tcPr>
            <w:tcW w:type="dxa" w:w="5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20"/>
                <w:szCs w:val="20"/>
              </w:rPr>
              <w:t xml:space="preserve">Système alertes Resend, dashboard Nuxt (liste + détail), configuration seuil, code couleur risque</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r>
              <w:rPr>
                <w:rFonts w:ascii="Arial" w:cs="Arial" w:eastAsia="Arial" w:hAnsi="Arial"/>
                <w:b/>
                <w:bCs/>
                <w:color w:val="085041"/>
                <w:sz w:val="19"/>
                <w:szCs w:val="19"/>
              </w:rPr>
              <w:t xml:space="preserve">Phase 5 — Stripe + Beta</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20"/>
                <w:szCs w:val="20"/>
              </w:rPr>
              <w:t xml:space="preserve">1 semaine</w:t>
            </w:r>
          </w:p>
        </w:tc>
        <w:tc>
          <w:tcPr>
            <w:tcW w:type="dxa" w:w="5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20"/>
                <w:szCs w:val="20"/>
              </w:rPr>
              <w:t xml:space="preserve">Intégration Stripe, webhooks Adonis, activation/pause, tests complets, beta privée 5-10 familles</w:t>
            </w:r>
          </w:p>
        </w:tc>
      </w:tr>
      <w:tr>
        <w:tc>
          <w:tcPr>
            <w:tcW w:type="dxa" w:w="18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tcPr>
          <w:p>
            <w:r>
              <w:rPr>
                <w:rFonts w:ascii="Arial" w:cs="Arial" w:eastAsia="Arial" w:hAnsi="Arial"/>
                <w:b/>
                <w:bCs/>
                <w:color w:val="633806"/>
                <w:sz w:val="19"/>
                <w:szCs w:val="19"/>
              </w:rPr>
              <w:t xml:space="preserve">V2</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20"/>
                <w:szCs w:val="20"/>
              </w:rPr>
              <w:t xml:space="preserve">4-6 semaines</w:t>
            </w:r>
          </w:p>
        </w:tc>
        <w:tc>
          <w:tcPr>
            <w:tcW w:type="dxa" w:w="5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20"/>
                <w:szCs w:val="20"/>
              </w:rPr>
              <w:t xml:space="preserve">Push notifications PWA, résumé hebdo senior, multi-seniors, liste blanche expéditeurs, historique 30j</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00"/>
              <w:bottom w:type="dxa" w:w="80"/>
              <w:right w:type="dxa" w:w="100"/>
            </w:tcMar>
          </w:tcPr>
          <w:p>
            <w:r>
              <w:rPr>
                <w:rFonts w:ascii="Arial" w:cs="Arial" w:eastAsia="Arial" w:hAnsi="Arial"/>
                <w:b/>
                <w:bCs/>
                <w:color w:val="555555"/>
                <w:sz w:val="19"/>
                <w:szCs w:val="19"/>
              </w:rPr>
              <w:t xml:space="preserve">V3</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20"/>
                <w:szCs w:val="20"/>
              </w:rPr>
              <w:t xml:space="preserve">TBD</w:t>
            </w:r>
          </w:p>
        </w:tc>
        <w:tc>
          <w:tcPr>
            <w:tcW w:type="dxa" w:w="5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20"/>
                <w:szCs w:val="20"/>
              </w:rPr>
              <w:t xml:space="preserve">App Android SMS, rapport PDF mensuel, tableau de bord analytics</w:t>
            </w:r>
          </w:p>
        </w:tc>
      </w:tr>
    </w:tbl>
    <w:p>
      <w:pPr>
        <w:pBdr>
          <w:bottom w:val="single" w:color="DDDDDD" w:sz="4"/>
        </w:pBdr>
        <w:spacing w:after="200" w:before="200"/>
      </w:pPr>
      <w:r>
        <w:t xml:space="preserve"/>
      </w:r>
    </w:p>
    <w:p>
      <w:pPr>
        <w:pStyle w:val="Heading1"/>
        <w:spacing w:after="160" w:before="400"/>
      </w:pPr>
      <w:r>
        <w:rPr>
          <w:rFonts w:ascii="Arial" w:cs="Arial" w:eastAsia="Arial" w:hAnsi="Arial"/>
          <w:b/>
          <w:bCs/>
          <w:color w:val="0F6E56"/>
          <w:sz w:val="36"/>
          <w:szCs w:val="36"/>
        </w:rPr>
        <w:t xml:space="preserve">9. Instructions pour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after="0" w:before="0"/>
            </w:pPr>
            <w:r>
              <w:rPr>
                <w:rFonts w:ascii="Arial" w:cs="Arial" w:eastAsia="Arial" w:hAnsi="Arial"/>
                <w:b/>
                <w:bCs/>
                <w:color w:val="085041"/>
                <w:sz w:val="22"/>
                <w:szCs w:val="22"/>
              </w:rPr>
              <w:t xml:space="preserve">Cette section est rédigée directement à l’attention de Claude Code.</w:t>
            </w:r>
          </w:p>
        </w:tc>
      </w:tr>
    </w:tbl>
    <w:p>
      <w:pPr>
        <w:spacing w:after="0" w:before="120"/>
      </w:pPr>
      <w:r>
        <w:t xml:space="preserve"/>
      </w:r>
    </w:p>
    <w:p>
      <w:pPr>
        <w:pStyle w:val="Heading2"/>
        <w:spacing w:after="120" w:before="300"/>
      </w:pPr>
      <w:r>
        <w:rPr>
          <w:rFonts w:ascii="Arial" w:cs="Arial" w:eastAsia="Arial" w:hAnsi="Arial"/>
          <w:b/>
          <w:bCs/>
          <w:color w:val="1A1A1A"/>
          <w:sz w:val="28"/>
          <w:szCs w:val="28"/>
        </w:rPr>
        <w:t xml:space="preserve">9.1 Initialisation du projet</w:t>
      </w:r>
    </w:p>
    <w:p>
      <w:pPr>
        <w:pStyle w:val="Heading3"/>
        <w:spacing w:after="80" w:before="200"/>
      </w:pPr>
      <w:r>
        <w:rPr>
          <w:rFonts w:ascii="Arial" w:cs="Arial" w:eastAsia="Arial" w:hAnsi="Arial"/>
          <w:b/>
          <w:bCs/>
          <w:color w:val="444444"/>
          <w:sz w:val="24"/>
          <w:szCs w:val="24"/>
        </w:rPr>
        <w:t xml:space="preserve">Backend Adonis (sur Hetzner)</w:t>
      </w:r>
    </w:p>
    <w:p>
      <w:pPr>
        <w:pStyle w:val="ListParagraph"/>
        <w:numPr>
          <w:ilvl w:val="0"/>
          <w:numId w:val="3"/>
        </w:numPr>
        <w:spacing w:after="40" w:before="40"/>
      </w:pPr>
      <w:r>
        <w:rPr>
          <w:rFonts w:ascii="Arial" w:cs="Arial" w:eastAsia="Arial" w:hAnsi="Arial"/>
          <w:color w:val="1A1A1A"/>
          <w:sz w:val="22"/>
          <w:szCs w:val="22"/>
        </w:rPr>
        <w:t xml:space="preserve">npm init adonis-ts-app@latest sentinelle-api --kit=api</w:t>
      </w:r>
    </w:p>
    <w:p>
      <w:pPr>
        <w:pStyle w:val="ListParagraph"/>
        <w:numPr>
          <w:ilvl w:val="0"/>
          <w:numId w:val="3"/>
        </w:numPr>
        <w:spacing w:after="40" w:before="40"/>
      </w:pPr>
      <w:r>
        <w:rPr>
          <w:rFonts w:ascii="Arial" w:cs="Arial" w:eastAsia="Arial" w:hAnsi="Arial"/>
          <w:color w:val="1A1A1A"/>
          <w:sz w:val="22"/>
          <w:szCs w:val="22"/>
        </w:rPr>
        <w:t xml:space="preserve">Configurer la connexion PostgreSQL dans config/database.ts (Lucid)</w:t>
      </w:r>
    </w:p>
    <w:p>
      <w:pPr>
        <w:pStyle w:val="ListParagraph"/>
        <w:numPr>
          <w:ilvl w:val="0"/>
          <w:numId w:val="3"/>
        </w:numPr>
        <w:spacing w:after="40" w:before="40"/>
      </w:pPr>
      <w:r>
        <w:rPr>
          <w:rFonts w:ascii="Arial" w:cs="Arial" w:eastAsia="Arial" w:hAnsi="Arial"/>
          <w:color w:val="1A1A1A"/>
          <w:sz w:val="22"/>
          <w:szCs w:val="22"/>
        </w:rPr>
        <w:t xml:space="preserve">Installer : @adonisjs/auth, @adonisjs/lucid, @google-cloud/local-auth, googleapis, @anthropic-ai/sdk, stripe, resend</w:t>
      </w:r>
    </w:p>
    <w:p>
      <w:pPr>
        <w:pStyle w:val="ListParagraph"/>
        <w:numPr>
          <w:ilvl w:val="0"/>
          <w:numId w:val="3"/>
        </w:numPr>
        <w:spacing w:after="40" w:before="40"/>
      </w:pPr>
      <w:r>
        <w:rPr>
          <w:rFonts w:ascii="Arial" w:cs="Arial" w:eastAsia="Arial" w:hAnsi="Arial"/>
          <w:color w:val="1A1A1A"/>
          <w:sz w:val="22"/>
          <w:szCs w:val="22"/>
        </w:rPr>
        <w:t xml:space="preserve">Configurer PM2 pour gérer les processus Adonis + worker séparément</w:t>
      </w:r>
    </w:p>
    <w:p>
      <w:pPr>
        <w:pStyle w:val="ListParagraph"/>
        <w:numPr>
          <w:ilvl w:val="0"/>
          <w:numId w:val="3"/>
        </w:numPr>
        <w:spacing w:after="40" w:before="40"/>
      </w:pPr>
      <w:r>
        <w:rPr>
          <w:rFonts w:ascii="Arial" w:cs="Arial" w:eastAsia="Arial" w:hAnsi="Arial"/>
          <w:color w:val="1A1A1A"/>
          <w:sz w:val="22"/>
          <w:szCs w:val="22"/>
        </w:rPr>
        <w:t xml:space="preserve">Configurer Nginx : proxy_pass vers localhost:3333, SSL Let’s Encrypt</w:t>
      </w:r>
    </w:p>
    <w:p>
      <w:pPr>
        <w:spacing w:after="0" w:before="80"/>
      </w:pPr>
      <w:r>
        <w:t xml:space="preserve"/>
      </w:r>
    </w:p>
    <w:p>
      <w:pPr>
        <w:pStyle w:val="Heading3"/>
        <w:spacing w:after="80" w:before="200"/>
      </w:pPr>
      <w:r>
        <w:rPr>
          <w:rFonts w:ascii="Arial" w:cs="Arial" w:eastAsia="Arial" w:hAnsi="Arial"/>
          <w:b/>
          <w:bCs/>
          <w:color w:val="444444"/>
          <w:sz w:val="24"/>
          <w:szCs w:val="24"/>
        </w:rPr>
        <w:t xml:space="preserve">Frontend Nuxt (sur Vercel)</w:t>
      </w:r>
    </w:p>
    <w:p>
      <w:pPr>
        <w:pStyle w:val="ListParagraph"/>
        <w:numPr>
          <w:ilvl w:val="0"/>
          <w:numId w:val="3"/>
        </w:numPr>
        <w:spacing w:after="40" w:before="40"/>
      </w:pPr>
      <w:r>
        <w:rPr>
          <w:rFonts w:ascii="Arial" w:cs="Arial" w:eastAsia="Arial" w:hAnsi="Arial"/>
          <w:color w:val="1A1A1A"/>
          <w:sz w:val="22"/>
          <w:szCs w:val="22"/>
        </w:rPr>
        <w:t xml:space="preserve">npx nuxi@latest init sentinelle-front</w:t>
      </w:r>
    </w:p>
    <w:p>
      <w:pPr>
        <w:pStyle w:val="ListParagraph"/>
        <w:numPr>
          <w:ilvl w:val="0"/>
          <w:numId w:val="3"/>
        </w:numPr>
        <w:spacing w:after="40" w:before="40"/>
      </w:pPr>
      <w:r>
        <w:rPr>
          <w:rFonts w:ascii="Arial" w:cs="Arial" w:eastAsia="Arial" w:hAnsi="Arial"/>
          <w:color w:val="1A1A1A"/>
          <w:sz w:val="22"/>
          <w:szCs w:val="22"/>
        </w:rPr>
        <w:t xml:space="preserve">Installer : @nuxtjs/tailwindcss, pinia, @vueuse/nuxt</w:t>
      </w:r>
    </w:p>
    <w:p>
      <w:pPr>
        <w:pStyle w:val="ListParagraph"/>
        <w:numPr>
          <w:ilvl w:val="0"/>
          <w:numId w:val="3"/>
        </w:numPr>
        <w:spacing w:after="40" w:before="40"/>
      </w:pPr>
      <w:r>
        <w:rPr>
          <w:rFonts w:ascii="Arial" w:cs="Arial" w:eastAsia="Arial" w:hAnsi="Arial"/>
          <w:color w:val="1A1A1A"/>
          <w:sz w:val="22"/>
          <w:szCs w:val="22"/>
        </w:rPr>
        <w:t xml:space="preserve">Configurer NUXT_PUBLIC_API_URL vers https://api.sentinelle.app</w:t>
      </w:r>
    </w:p>
    <w:p>
      <w:pPr>
        <w:pStyle w:val="ListParagraph"/>
        <w:numPr>
          <w:ilvl w:val="0"/>
          <w:numId w:val="3"/>
        </w:numPr>
        <w:spacing w:after="40" w:before="40"/>
      </w:pPr>
      <w:r>
        <w:rPr>
          <w:rFonts w:ascii="Arial" w:cs="Arial" w:eastAsia="Arial" w:hAnsi="Arial"/>
          <w:color w:val="1A1A1A"/>
          <w:sz w:val="22"/>
          <w:szCs w:val="22"/>
        </w:rPr>
        <w:t xml:space="preserve">Connecter le dépôt Git à Vercel pour déploiement automatique</w:t>
      </w:r>
    </w:p>
    <w:p>
      <w:pPr>
        <w:spacing w:after="0" w:before="160"/>
      </w:pPr>
      <w:r>
        <w:t xml:space="preserve"/>
      </w:r>
    </w:p>
    <w:p>
      <w:pPr>
        <w:pStyle w:val="Heading2"/>
        <w:spacing w:after="120" w:before="300"/>
      </w:pPr>
      <w:r>
        <w:rPr>
          <w:rFonts w:ascii="Arial" w:cs="Arial" w:eastAsia="Arial" w:hAnsi="Arial"/>
          <w:b/>
          <w:bCs/>
          <w:color w:val="1A1A1A"/>
          <w:sz w:val="28"/>
          <w:szCs w:val="28"/>
        </w:rPr>
        <w:t xml:space="preserve">9.2 Variables d’environnement — Backend Adonis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160"/>
              <w:left w:type="dxa" w:w="200"/>
              <w:bottom w:type="dxa" w:w="160"/>
              <w:right w:type="dxa" w:w="200"/>
            </w:tcMar>
          </w:tcPr>
          <w:p>
            <w:pPr>
              <w:spacing w:after="0" w:before="0"/>
            </w:pPr>
            <w:r>
              <w:rPr>
                <w:rFonts w:ascii="Arial" w:cs="Arial" w:eastAsia="Arial" w:hAnsi="Arial"/>
                <w:b w:val="false"/>
                <w:bCs w:val="false"/>
                <w:color w:val="1A1A1A"/>
                <w:sz w:val="22"/>
                <w:szCs w:val="22"/>
              </w:rPr>
              <w:t xml:space="preserve"># Base de données PostgreSQL
DB_CONNECTION=pg
PG_HOST=localhost
PG_PORT=5432
PG_DB_NAME=sentinelle
PG_USER=sentinelle_user
PG_PASSWORD=
# Adonis
APP_KEY=                    # node ace generate:key
HOST=0.0.0.0
PORT=3333
NODE_ENV=production
# Google OAuth
GOOGLE_CLIENT_ID=
GOOGLE_CLIENT_SECRET=
GOOGLE_REDIRECT_URI=https://api.sentinelle.app/auth/google/callback
# Chiffrement tokens OAuth (clé 32 bytes en hex)
ENCRYPTION_KEY=
# Anthropic
ANTHROPIC_API_KEY=
# Stripe
STRIPE_SECRET_KEY=
STRIPE_WEBHOOK_SECRET=
# Resend
RESEND_API_KEY=
EMAIL_FROM=alertes@sentinelle.app
# Frontend URL (pour CORS)
FRONTEND_URL=https://sentinelle.app</w:t>
            </w:r>
          </w:p>
        </w:tc>
      </w:tr>
    </w:tbl>
    <w:p>
      <w:pPr>
        <w:spacing w:after="0" w:before="160"/>
      </w:pPr>
      <w:r>
        <w:t xml:space="preserve"/>
      </w:r>
    </w:p>
    <w:p>
      <w:pPr>
        <w:pStyle w:val="Heading2"/>
        <w:spacing w:after="120" w:before="300"/>
      </w:pPr>
      <w:r>
        <w:rPr>
          <w:rFonts w:ascii="Arial" w:cs="Arial" w:eastAsia="Arial" w:hAnsi="Arial"/>
          <w:b/>
          <w:bCs/>
          <w:color w:val="1A1A1A"/>
          <w:sz w:val="28"/>
          <w:szCs w:val="28"/>
        </w:rPr>
        <w:t xml:space="preserve">9.3 Points d’attention critiques pour Claude Code</w:t>
      </w:r>
    </w:p>
    <w:p>
      <w:pPr>
        <w:pStyle w:val="ListParagraph"/>
        <w:numPr>
          <w:ilvl w:val="0"/>
          <w:numId w:val="3"/>
        </w:numPr>
        <w:spacing w:after="40" w:before="40"/>
      </w:pPr>
      <w:r>
        <w:rPr>
          <w:rFonts w:ascii="Arial" w:cs="Arial" w:eastAsia="Arial" w:hAnsi="Arial"/>
          <w:color w:val="1A1A1A"/>
          <w:sz w:val="22"/>
          <w:szCs w:val="22"/>
        </w:rPr>
        <w:t xml:space="preserve">Chiffrer les tokens OAuth AVANT toute écriture en BDD (AES-256-GCM, IV unique par token)</w:t>
      </w:r>
    </w:p>
    <w:p>
      <w:pPr>
        <w:pStyle w:val="ListParagraph"/>
        <w:numPr>
          <w:ilvl w:val="0"/>
          <w:numId w:val="3"/>
        </w:numPr>
        <w:spacing w:after="40" w:before="40"/>
      </w:pPr>
      <w:r>
        <w:rPr>
          <w:rFonts w:ascii="Arial" w:cs="Arial" w:eastAsia="Arial" w:hAnsi="Arial"/>
          <w:color w:val="1A1A1A"/>
          <w:sz w:val="22"/>
          <w:szCs w:val="22"/>
        </w:rPr>
        <w:t xml:space="preserve">Le worker Gmail doit stocker le gmail_message_id pour éviter les doublons (contrainte UNIQUE en BDD)</w:t>
      </w:r>
    </w:p>
    <w:p>
      <w:pPr>
        <w:pStyle w:val="ListParagraph"/>
        <w:numPr>
          <w:ilvl w:val="0"/>
          <w:numId w:val="3"/>
        </w:numPr>
        <w:spacing w:after="40" w:before="40"/>
      </w:pPr>
      <w:r>
        <w:rPr>
          <w:rFonts w:ascii="Arial" w:cs="Arial" w:eastAsia="Arial" w:hAnsi="Arial"/>
          <w:color w:val="1A1A1A"/>
          <w:sz w:val="22"/>
          <w:szCs w:val="22"/>
        </w:rPr>
        <w:t xml:space="preserve">Utiliser le scope Gmail le plus restrictif possible : https://www.googleapis.com/auth/gmail.readonly</w:t>
      </w:r>
    </w:p>
    <w:p>
      <w:pPr>
        <w:pStyle w:val="ListParagraph"/>
        <w:numPr>
          <w:ilvl w:val="0"/>
          <w:numId w:val="3"/>
        </w:numPr>
        <w:spacing w:after="40" w:before="40"/>
      </w:pPr>
      <w:r>
        <w:rPr>
          <w:rFonts w:ascii="Arial" w:cs="Arial" w:eastAsia="Arial" w:hAnsi="Arial"/>
          <w:color w:val="1A1A1A"/>
          <w:sz w:val="22"/>
          <w:szCs w:val="22"/>
        </w:rPr>
        <w:t xml:space="preserve">Tronquer le body email à 2000 caractères avant l’appel API Claude (contrôle des coûts)</w:t>
      </w:r>
    </w:p>
    <w:p>
      <w:pPr>
        <w:pStyle w:val="ListParagraph"/>
        <w:numPr>
          <w:ilvl w:val="0"/>
          <w:numId w:val="3"/>
        </w:numPr>
        <w:spacing w:after="40" w:before="40"/>
      </w:pPr>
      <w:r>
        <w:rPr>
          <w:rFonts w:ascii="Arial" w:cs="Arial" w:eastAsia="Arial" w:hAnsi="Arial"/>
          <w:color w:val="1A1A1A"/>
          <w:sz w:val="22"/>
          <w:szCs w:val="22"/>
        </w:rPr>
        <w:t xml:space="preserve">Implémenter un try/catch sur chaque appel API Claude : si échec, logger sans alerter l’utilisateur</w:t>
      </w:r>
    </w:p>
    <w:p>
      <w:pPr>
        <w:pStyle w:val="ListParagraph"/>
        <w:numPr>
          <w:ilvl w:val="0"/>
          <w:numId w:val="3"/>
        </w:numPr>
        <w:spacing w:after="40" w:before="40"/>
      </w:pPr>
      <w:r>
        <w:rPr>
          <w:rFonts w:ascii="Arial" w:cs="Arial" w:eastAsia="Arial" w:hAnsi="Arial"/>
          <w:color w:val="1A1A1A"/>
          <w:sz w:val="22"/>
          <w:szCs w:val="22"/>
        </w:rPr>
        <w:t xml:space="preserve">Les webhooks Stripe doivent être vérifiés avec la signature Stripe (stripe.webhooks.constructEvent)</w:t>
      </w:r>
    </w:p>
    <w:p>
      <w:pPr>
        <w:pStyle w:val="ListParagraph"/>
        <w:numPr>
          <w:ilvl w:val="0"/>
          <w:numId w:val="3"/>
        </w:numPr>
        <w:spacing w:after="40" w:before="40"/>
      </w:pPr>
      <w:r>
        <w:rPr>
          <w:rFonts w:ascii="Arial" w:cs="Arial" w:eastAsia="Arial" w:hAnsi="Arial"/>
          <w:color w:val="1A1A1A"/>
          <w:sz w:val="22"/>
          <w:szCs w:val="22"/>
        </w:rPr>
        <w:t xml:space="preserve">Le dashboard Nuxt doit être accessible uniquement après authentification (middleware Nuxt auth)</w:t>
      </w:r>
    </w:p>
    <w:p>
      <w:pPr>
        <w:pStyle w:val="ListParagraph"/>
        <w:numPr>
          <w:ilvl w:val="0"/>
          <w:numId w:val="3"/>
        </w:numPr>
        <w:spacing w:after="40" w:before="40"/>
      </w:pPr>
      <w:r>
        <w:rPr>
          <w:rFonts w:ascii="Arial" w:cs="Arial" w:eastAsia="Arial" w:hAnsi="Arial"/>
          <w:color w:val="1A1A1A"/>
          <w:sz w:val="22"/>
          <w:szCs w:val="22"/>
        </w:rPr>
        <w:t xml:space="preserve">Interface design : vert (#0F6E56) pour email sûr, orange (#BA7517) pour attention, rouge (#A32D2D) pour danger</w:t>
      </w:r>
    </w:p>
    <w:p>
      <w:pPr>
        <w:pStyle w:val="ListParagraph"/>
        <w:numPr>
          <w:ilvl w:val="0"/>
          <w:numId w:val="3"/>
        </w:numPr>
        <w:spacing w:after="40" w:before="40"/>
      </w:pPr>
      <w:r>
        <w:rPr>
          <w:rFonts w:ascii="Arial" w:cs="Arial" w:eastAsia="Arial" w:hAnsi="Arial"/>
          <w:color w:val="1A1A1A"/>
          <w:sz w:val="22"/>
          <w:szCs w:val="22"/>
        </w:rPr>
        <w:t xml:space="preserve">Ne jamais afficher le corps complet de l’email dans le dashboard — uniquement l’objet et l’analyse</w:t>
      </w:r>
    </w:p>
    <w:p>
      <w:pPr>
        <w:pBdr>
          <w:bottom w:val="single" w:color="DDDDDD" w:sz="4"/>
        </w:pBdr>
        <w:spacing w:after="200" w:before="200"/>
      </w:pPr>
      <w:r>
        <w:t xml:space="preserve"/>
      </w:r>
    </w:p>
    <w:p>
      <w:pPr>
        <w:spacing w:after="0" w:before="200"/>
      </w:pPr>
      <w:r>
        <w:t xml:space="preserve"/>
      </w:r>
    </w:p>
    <w:p>
      <w:pPr>
        <w:jc w:val="center"/>
      </w:pPr>
      <w:r>
        <w:rPr>
          <w:rFonts w:ascii="Arial" w:cs="Arial" w:eastAsia="Arial" w:hAnsi="Arial"/>
          <w:i/>
          <w:iCs/>
          <w:color w:val="AAAAAA"/>
          <w:sz w:val="18"/>
          <w:szCs w:val="18"/>
        </w:rPr>
        <w:t xml:space="preserve">SENTINELLE — Cahier des charges MVP v1.1 — Stack : Nuxt 3 + Adonis 6 + PostgreSQL — Confidentiel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20" w:before="30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2026-05-07T16:23:41.125Z</dcterms:created>
  <dcterms:modified xsi:type="dcterms:W3CDTF">2026-05-07T16:23:41.139Z</dcterms:modified>
</cp:coreProperties>
</file>

<file path=docProps/custom.xml><?xml version="1.0" encoding="utf-8"?>
<Properties xmlns="http://schemas.openxmlformats.org/officeDocument/2006/custom-properties" xmlns:vt="http://schemas.openxmlformats.org/officeDocument/2006/docPropsVTypes"/>
</file>