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Initial Architecture Considerations</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Narrative: </w:t>
      </w:r>
      <w:r w:rsidDel="00000000" w:rsidR="00000000" w:rsidRPr="00000000">
        <w:rPr>
          <w:rtl w:val="0"/>
        </w:rPr>
        <w:t xml:space="preserve">This document displays the initial ideas for the system architecture. The design viewpoints were created on the basis that the customer and Sweet Karoline’s Cakes were most likely going to take these courses of action upon completion of the website, and that they are the most important use cases.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‘Basic Setup’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Design Viewpoint: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Customer enters website, browses options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Selects order form and enters information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Customer inputs payment method and/or communicates with Karoline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Order is submitted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Karoline accesses website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Views orders to complete and customer information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Order and info are stored in website database and personal device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Customer enters website, decides to sign up for an account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Selects sign up, enters information</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Account info is stored in website database and can be viewed by Karoline.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Customer submits member order form</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Realization Viewpoint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Customer enters website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