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D95669"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D95669"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pPr>
        <w:rPr>
          <w:rFonts w:hint="eastAsia"/>
        </w:rPr>
      </w:pPr>
      <w:r w:rsidRPr="009446AA">
        <w:t>cat /etc/passwd | awk -F : '{print $1}'</w:t>
      </w:r>
    </w:p>
    <w:p w:rsidR="001B279A" w:rsidRDefault="001B279A" w:rsidP="001B279A">
      <w:pPr>
        <w:pStyle w:val="3"/>
        <w:spacing w:before="312"/>
        <w:ind w:left="887"/>
        <w:rPr>
          <w:rFonts w:hint="eastAsia"/>
        </w:rPr>
      </w:pPr>
      <w:r>
        <w:rPr>
          <w:rFonts w:hint="eastAsia"/>
        </w:rPr>
        <w:t>网络</w:t>
      </w:r>
    </w:p>
    <w:p w:rsidR="002A2729" w:rsidRDefault="002A2729" w:rsidP="002A2729">
      <w:pPr>
        <w:pStyle w:val="4"/>
        <w:spacing w:before="312"/>
        <w:ind w:left="1188"/>
        <w:rPr>
          <w:rFonts w:hint="eastAsia"/>
        </w:rPr>
      </w:pPr>
      <w:r>
        <w:rPr>
          <w:rFonts w:hint="eastAsia"/>
        </w:rPr>
        <w:t>netstat</w:t>
      </w:r>
    </w:p>
    <w:p w:rsidR="00907D53" w:rsidRDefault="00907D53" w:rsidP="00907D53">
      <w:pPr>
        <w:rPr>
          <w:rFonts w:hint="eastAsia"/>
        </w:rPr>
      </w:pPr>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Pr>
        <w:rPr>
          <w:rFonts w:hint="eastAsia"/>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此参数的效果和指定”-A unix”参数相同。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此参数的效果和指定”-A inet”参数相同。</w:t>
      </w:r>
    </w:p>
    <w:p w:rsidR="00260AEE" w:rsidRDefault="00260AEE" w:rsidP="00DB3E45">
      <w:pPr>
        <w:pStyle w:val="3"/>
        <w:spacing w:before="312"/>
        <w:ind w:left="887"/>
      </w:pPr>
      <w:r>
        <w:rPr>
          <w:rFonts w:hint="eastAsia"/>
        </w:rPr>
        <w:t>查找</w:t>
      </w:r>
    </w:p>
    <w:p w:rsidR="004F13C2" w:rsidRDefault="004F13C2" w:rsidP="00DB3E45">
      <w:pPr>
        <w:pStyle w:val="4"/>
        <w:spacing w:before="312"/>
        <w:ind w:left="1188"/>
      </w:pPr>
      <w:bookmarkStart w:id="0" w:name="_grep"/>
      <w:bookmarkEnd w:id="0"/>
      <w:r>
        <w:rPr>
          <w:rFonts w:hint="eastAsia"/>
        </w:rPr>
        <w:t>grep</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lastRenderedPageBreak/>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Pr="00E12950" w:rsidRDefault="006A1D74" w:rsidP="00DB3E45">
      <w:pPr>
        <w:pStyle w:val="2"/>
        <w:spacing w:before="312"/>
        <w:ind w:left="160"/>
      </w:pPr>
      <w:r w:rsidRPr="00E12950">
        <w:rPr>
          <w:rFonts w:hint="eastAsia"/>
        </w:rPr>
        <w:lastRenderedPageBreak/>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lastRenderedPageBreak/>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lastRenderedPageBreak/>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lastRenderedPageBreak/>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D95669"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lastRenderedPageBreak/>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w:t>
      </w:r>
      <w:r w:rsidRPr="009A1F12">
        <w:rPr>
          <w:shd w:val="clear" w:color="auto" w:fill="auto"/>
        </w:rPr>
        <w:lastRenderedPageBreak/>
        <w:t xml:space="preserve">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指组成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叫作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服务端会将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备模式的系统架构来保持集群中各副本之间数据的一致性。具体的，ZooKeeper使用一个单一的主进程来接收并处理客户端的所</w:t>
      </w:r>
      <w:r w:rsidRPr="00744634">
        <w:rPr>
          <w:shd w:val="clear" w:color="auto" w:fill="auto"/>
        </w:rPr>
        <w:lastRenderedPageBreak/>
        <w:t xml:space="preserve">有事务请求，并采用ZAB的原子广播协议，将服务器数据的状态变更以事务Proposal的形式广播到所有的副本进程上去。ZAB协议的这个主备模型架构保证了同一时刻集群中只能够有一个主进程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主进程在任何时候都有可能出现崩溃退出或重启现象，因此，ZAB协议还需要做到在当前主进程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bookmarkStart w:id="4" w:name="_GoBack"/>
      <w:bookmarkEnd w:id="4"/>
    </w:p>
    <w:p w:rsidR="00E1221D" w:rsidRDefault="00E1221D" w:rsidP="00E1221D">
      <w:r>
        <w:rPr>
          <w:rFonts w:hint="eastAsia"/>
        </w:rPr>
        <w:t>当</w:t>
      </w:r>
      <w:r>
        <w:t>Leader服务器出现崩溃退出或机器重启，亦或是集群中已经不存在过半的服务器与该Leader服务器保持正常通信时，那么在重新开始新一轮的原子广播事务操作之前，所有进程首先会使用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r w:rsidR="00027238">
        <w:rPr>
          <w:rFonts w:hint="eastAsia"/>
        </w:rPr>
        <w:t>【</w:t>
      </w:r>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lastRenderedPageBreak/>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5" w:name="t0"/>
      <w:bookmarkEnd w:id="5"/>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2"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4"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5"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6"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7"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28"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29"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6" w:name="t3"/>
      <w:bookmarkEnd w:id="6"/>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2"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zrange|zrevrange] key start end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O(log(N)+M)， 其中 N 为有序集合的元素数量， 而 M 则是命令返回的元素数量。 如果 M 是一个常数（比如说，用户总是使用 LIMIT 参数来返回最先的 10 个元素），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d"/>
        <w:tblW w:w="0" w:type="auto"/>
        <w:jc w:val="center"/>
        <w:tblLook w:val="04A0"/>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D95669" w:rsidP="0034755F">
      <w:pPr>
        <w:widowControl/>
        <w:jc w:val="left"/>
      </w:pPr>
      <w:hyperlink r:id="rId34" w:history="1">
        <w:r w:rsidR="0034755F" w:rsidRPr="00587ED8">
          <w:rPr>
            <w:rStyle w:val="a4"/>
          </w:rPr>
          <w:t>http://linux.die.net/man/2/write</w:t>
        </w:r>
      </w:hyperlink>
      <w:r w:rsidR="0034755F">
        <w:t>，</w:t>
      </w:r>
    </w:p>
    <w:p w:rsidR="0034755F" w:rsidRDefault="00D95669" w:rsidP="0034755F">
      <w:pPr>
        <w:widowControl/>
        <w:jc w:val="left"/>
      </w:pPr>
      <w:hyperlink r:id="rId35" w:history="1">
        <w:r w:rsidR="0034755F" w:rsidRPr="00587ED8">
          <w:rPr>
            <w:rStyle w:val="a4"/>
          </w:rPr>
          <w:t>http://linux.die.net/man/2/fsync</w:t>
        </w:r>
      </w:hyperlink>
      <w:r w:rsidR="0034755F">
        <w:t>，</w:t>
      </w:r>
    </w:p>
    <w:p w:rsidR="0034755F" w:rsidRDefault="00D95669" w:rsidP="0034755F">
      <w:pPr>
        <w:widowControl/>
        <w:jc w:val="left"/>
      </w:pPr>
      <w:hyperlink r:id="rId36" w:history="1">
        <w:r w:rsidR="0034755F" w:rsidRPr="00587ED8">
          <w:rPr>
            <w:rStyle w:val="a4"/>
          </w:rPr>
          <w:t>http://linux.die.net/man/2/sync</w:t>
        </w:r>
      </w:hyperlink>
      <w:r w:rsidR="0034755F">
        <w:t>，</w:t>
      </w:r>
    </w:p>
    <w:p w:rsidR="003D667E" w:rsidRDefault="00D95669" w:rsidP="0034755F">
      <w:pPr>
        <w:widowControl/>
        <w:jc w:val="left"/>
      </w:pPr>
      <w:hyperlink r:id="rId37"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lastRenderedPageBreak/>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lastRenderedPageBreak/>
        <w:t>初始化</w:t>
      </w:r>
      <w:hyperlink r:id="rId38"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8"/>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D95669" w:rsidP="00DB3E45">
      <w:hyperlink r:id="rId39"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1E8" w:rsidRDefault="003B51E8" w:rsidP="001615C2">
      <w:r>
        <w:separator/>
      </w:r>
    </w:p>
  </w:endnote>
  <w:endnote w:type="continuationSeparator" w:id="0">
    <w:p w:rsidR="003B51E8" w:rsidRDefault="003B51E8" w:rsidP="001615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1E8" w:rsidRDefault="003B51E8" w:rsidP="001615C2">
      <w:r>
        <w:separator/>
      </w:r>
    </w:p>
  </w:footnote>
  <w:footnote w:type="continuationSeparator" w:id="0">
    <w:p w:rsidR="003B51E8" w:rsidRDefault="003B51E8" w:rsidP="0016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638"/>
    <w:rsid w:val="00002597"/>
    <w:rsid w:val="000051F5"/>
    <w:rsid w:val="00012101"/>
    <w:rsid w:val="000127B8"/>
    <w:rsid w:val="0001673B"/>
    <w:rsid w:val="00020E5C"/>
    <w:rsid w:val="00023D80"/>
    <w:rsid w:val="00027238"/>
    <w:rsid w:val="000336F3"/>
    <w:rsid w:val="00034A87"/>
    <w:rsid w:val="00034AA9"/>
    <w:rsid w:val="0003631E"/>
    <w:rsid w:val="00037193"/>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2F06"/>
    <w:rsid w:val="00094111"/>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1C8"/>
    <w:rsid w:val="00103D03"/>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2DB3"/>
    <w:rsid w:val="00193412"/>
    <w:rsid w:val="00193A1C"/>
    <w:rsid w:val="00194649"/>
    <w:rsid w:val="0019470A"/>
    <w:rsid w:val="00196827"/>
    <w:rsid w:val="00197292"/>
    <w:rsid w:val="001A082D"/>
    <w:rsid w:val="001A30BE"/>
    <w:rsid w:val="001A51CD"/>
    <w:rsid w:val="001A6073"/>
    <w:rsid w:val="001B06C0"/>
    <w:rsid w:val="001B279A"/>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2729"/>
    <w:rsid w:val="002A3B57"/>
    <w:rsid w:val="002A43F3"/>
    <w:rsid w:val="002A50BA"/>
    <w:rsid w:val="002A5226"/>
    <w:rsid w:val="002B195E"/>
    <w:rsid w:val="002B475F"/>
    <w:rsid w:val="002B5177"/>
    <w:rsid w:val="002B67B0"/>
    <w:rsid w:val="002B7BCB"/>
    <w:rsid w:val="002C1C74"/>
    <w:rsid w:val="002C27FE"/>
    <w:rsid w:val="002C2ADF"/>
    <w:rsid w:val="002C334C"/>
    <w:rsid w:val="002C38CA"/>
    <w:rsid w:val="002C511A"/>
    <w:rsid w:val="002C6C95"/>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4C17"/>
    <w:rsid w:val="003068C7"/>
    <w:rsid w:val="00310495"/>
    <w:rsid w:val="00310DFE"/>
    <w:rsid w:val="00311468"/>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317A"/>
    <w:rsid w:val="003A449D"/>
    <w:rsid w:val="003A5119"/>
    <w:rsid w:val="003B2C39"/>
    <w:rsid w:val="003B3CA9"/>
    <w:rsid w:val="003B4609"/>
    <w:rsid w:val="003B51E8"/>
    <w:rsid w:val="003C04A0"/>
    <w:rsid w:val="003D4986"/>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C10"/>
    <w:rsid w:val="00526CFB"/>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49A3"/>
    <w:rsid w:val="005E7FC8"/>
    <w:rsid w:val="005F1AAA"/>
    <w:rsid w:val="005F1E75"/>
    <w:rsid w:val="005F3B41"/>
    <w:rsid w:val="006021FF"/>
    <w:rsid w:val="00604E20"/>
    <w:rsid w:val="0060636C"/>
    <w:rsid w:val="00606B24"/>
    <w:rsid w:val="0061239D"/>
    <w:rsid w:val="006135B3"/>
    <w:rsid w:val="00613F5C"/>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63AE"/>
    <w:rsid w:val="00677036"/>
    <w:rsid w:val="00677180"/>
    <w:rsid w:val="006802C8"/>
    <w:rsid w:val="00681B97"/>
    <w:rsid w:val="00682047"/>
    <w:rsid w:val="00682711"/>
    <w:rsid w:val="00683DF3"/>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E0C91"/>
    <w:rsid w:val="007E1346"/>
    <w:rsid w:val="007E29E8"/>
    <w:rsid w:val="007E6E86"/>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377F"/>
    <w:rsid w:val="008E42C9"/>
    <w:rsid w:val="008F074E"/>
    <w:rsid w:val="008F2BBA"/>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3201C"/>
    <w:rsid w:val="0093507C"/>
    <w:rsid w:val="00936DDF"/>
    <w:rsid w:val="009446AA"/>
    <w:rsid w:val="009469AD"/>
    <w:rsid w:val="00947F17"/>
    <w:rsid w:val="00947F8B"/>
    <w:rsid w:val="00951726"/>
    <w:rsid w:val="0095222C"/>
    <w:rsid w:val="00953ECC"/>
    <w:rsid w:val="0096046E"/>
    <w:rsid w:val="00960BAB"/>
    <w:rsid w:val="00962563"/>
    <w:rsid w:val="00962E8C"/>
    <w:rsid w:val="00963A30"/>
    <w:rsid w:val="009644C6"/>
    <w:rsid w:val="00965464"/>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BF"/>
    <w:rsid w:val="00997950"/>
    <w:rsid w:val="009A045E"/>
    <w:rsid w:val="009A1F12"/>
    <w:rsid w:val="009A3483"/>
    <w:rsid w:val="009A41C5"/>
    <w:rsid w:val="009A4D0F"/>
    <w:rsid w:val="009B020C"/>
    <w:rsid w:val="009B3BB9"/>
    <w:rsid w:val="009B4978"/>
    <w:rsid w:val="009B66BA"/>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0AF4"/>
    <w:rsid w:val="00AE142B"/>
    <w:rsid w:val="00AE280B"/>
    <w:rsid w:val="00AE4192"/>
    <w:rsid w:val="00AE5B6C"/>
    <w:rsid w:val="00AE77E7"/>
    <w:rsid w:val="00AF26B1"/>
    <w:rsid w:val="00AF3466"/>
    <w:rsid w:val="00AF38CE"/>
    <w:rsid w:val="00AF788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E00B4"/>
    <w:rsid w:val="00BE0FC6"/>
    <w:rsid w:val="00BE18AF"/>
    <w:rsid w:val="00BE3A04"/>
    <w:rsid w:val="00BE48D2"/>
    <w:rsid w:val="00BE6130"/>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2D94"/>
    <w:rsid w:val="00CB5D18"/>
    <w:rsid w:val="00CB6180"/>
    <w:rsid w:val="00CC0EE9"/>
    <w:rsid w:val="00CC1AFB"/>
    <w:rsid w:val="00CC1D74"/>
    <w:rsid w:val="00CC7E82"/>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1853"/>
    <w:rsid w:val="00D42F4B"/>
    <w:rsid w:val="00D5145E"/>
    <w:rsid w:val="00D51A8C"/>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440"/>
    <w:rsid w:val="00FF053D"/>
    <w:rsid w:val="00FF0C88"/>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 w:val="16"/>
      <w:szCs w:val="21"/>
    </w:rPr>
  </w:style>
  <w:style w:type="character" w:customStyle="1" w:styleId="2Char">
    <w:name w:val="标题 2 Char"/>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193A1C"/>
    <w:rPr>
      <w:rFonts w:ascii="微软雅黑" w:eastAsia="微软雅黑" w:hAnsi="微软雅黑"/>
      <w:b/>
      <w:bCs/>
      <w:color w:val="8496B0" w:themeColor="text2" w:themeTint="99"/>
      <w:sz w:val="16"/>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 w:type="paragraph" w:styleId="ab">
    <w:name w:val="header"/>
    <w:basedOn w:val="a"/>
    <w:link w:val="Char1"/>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b"/>
    <w:uiPriority w:val="99"/>
    <w:rsid w:val="001615C2"/>
    <w:rPr>
      <w:rFonts w:ascii="微软雅黑" w:eastAsia="微软雅黑" w:hAnsi="微软雅黑"/>
      <w:color w:val="4F4F4F"/>
      <w:sz w:val="18"/>
      <w:szCs w:val="18"/>
    </w:rPr>
  </w:style>
  <w:style w:type="paragraph" w:styleId="ac">
    <w:name w:val="footer"/>
    <w:basedOn w:val="a"/>
    <w:link w:val="Char2"/>
    <w:uiPriority w:val="99"/>
    <w:unhideWhenUsed/>
    <w:rsid w:val="001615C2"/>
    <w:pPr>
      <w:tabs>
        <w:tab w:val="center" w:pos="4153"/>
        <w:tab w:val="right" w:pos="8306"/>
      </w:tabs>
      <w:snapToGrid w:val="0"/>
      <w:jc w:val="left"/>
    </w:pPr>
    <w:rPr>
      <w:sz w:val="18"/>
      <w:szCs w:val="18"/>
    </w:rPr>
  </w:style>
  <w:style w:type="character" w:customStyle="1" w:styleId="Char2">
    <w:name w:val="页脚 Char"/>
    <w:basedOn w:val="a1"/>
    <w:link w:val="ac"/>
    <w:uiPriority w:val="99"/>
    <w:rsid w:val="001615C2"/>
    <w:rPr>
      <w:rFonts w:ascii="微软雅黑" w:eastAsia="微软雅黑" w:hAnsi="微软雅黑"/>
      <w:color w:val="4F4F4F"/>
      <w:sz w:val="18"/>
      <w:szCs w:val="18"/>
    </w:rPr>
  </w:style>
  <w:style w:type="character" w:customStyle="1" w:styleId="30">
    <w:name w:val="未处理的提及3"/>
    <w:basedOn w:val="a1"/>
    <w:uiPriority w:val="99"/>
    <w:semiHidden/>
    <w:unhideWhenUsed/>
    <w:rsid w:val="008D1610"/>
    <w:rPr>
      <w:color w:val="808080"/>
      <w:shd w:val="clear" w:color="auto" w:fill="E6E6E6"/>
    </w:rPr>
  </w:style>
  <w:style w:type="table" w:styleId="ad">
    <w:name w:val="Table Grid"/>
    <w:basedOn w:val="a2"/>
    <w:uiPriority w:val="39"/>
    <w:unhideWhenUsed/>
    <w:rsid w:val="00ED6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r="http://schemas.openxmlformats.org/officeDocument/2006/relationships" xmlns:w="http://schemas.openxmlformats.org/wordprocessingml/2006/main">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6%9C%AC%E5%9C%B0%E7%BC%93%E5%AD%98" TargetMode="External"/><Relationship Id="rId39" Type="http://schemas.openxmlformats.org/officeDocument/2006/relationships/hyperlink" Target="https://github.com/bsc2012"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linux.die.net/man/2/write"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9%95%BF%E8%BF%9E%E6%8E%A5" TargetMode="External"/><Relationship Id="rId33" Type="http://schemas.openxmlformats.org/officeDocument/2006/relationships/image" Target="media/image9.png"/><Relationship Id="rId38" Type="http://schemas.openxmlformats.org/officeDocument/2006/relationships/hyperlink" Target="http://lib.csdn.net/base/28"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hyperlink" Target="https://baike.baidu.com/item/%E9%9B%86%E7%BE%A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7%9B%AE%E5%BD%95%E6%9C%8D%E5%8A%A1" TargetMode="External"/><Relationship Id="rId32" Type="http://schemas.openxmlformats.org/officeDocument/2006/relationships/hyperlink" Target="http://download.redis.io/releases/redis-3.2.11.tar.gz" TargetMode="External"/><Relationship Id="rId37" Type="http://schemas.openxmlformats.org/officeDocument/2006/relationships/hyperlink" Target="http://linux.die.net/man/2/fdatasync"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image" Target="media/image6.jpeg"/><Relationship Id="rId28" Type="http://schemas.openxmlformats.org/officeDocument/2006/relationships/hyperlink" Target="https://baike.baidu.com/item/%E7%BC%93%E5%AD%98" TargetMode="External"/><Relationship Id="rId36" Type="http://schemas.openxmlformats.org/officeDocument/2006/relationships/hyperlink" Target="http://linux.die.net/man/2/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hyperlink" Target="https://baike.baidu.com/item/%E8%BF%9C%E7%A8%8B%E6%9C%8D%E5%8A%A1" TargetMode="External"/><Relationship Id="rId27" Type="http://schemas.openxmlformats.org/officeDocument/2006/relationships/hyperlink" Target="https://baike.baidu.com/item/%E9%87%87%E6%A0%B7%E6%95%B0%E6%8D%AE" TargetMode="External"/><Relationship Id="rId30" Type="http://schemas.openxmlformats.org/officeDocument/2006/relationships/image" Target="media/image7.jpeg"/><Relationship Id="rId35" Type="http://schemas.openxmlformats.org/officeDocument/2006/relationships/hyperlink" Target="http://linux.die.net/man/2/f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EBB307-4434-48E0-9E78-EA07A75A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5937</TotalTime>
  <Pages>34</Pages>
  <Words>4734</Words>
  <Characters>26990</Characters>
  <Application>Microsoft Office Word</Application>
  <DocSecurity>0</DocSecurity>
  <Lines>224</Lines>
  <Paragraphs>63</Paragraphs>
  <ScaleCrop>false</ScaleCrop>
  <Company/>
  <LinksUpToDate>false</LinksUpToDate>
  <CharactersWithSpaces>31661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2854</cp:revision>
  <dcterms:created xsi:type="dcterms:W3CDTF">2018-03-31T15:09:00Z</dcterms:created>
  <dcterms:modified xsi:type="dcterms:W3CDTF">2018-04-28T09:10:00Z</dcterms:modified>
</cp:coreProperties>
</file>