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pPr>
      <w:r>
        <w:rPr>
          <w:rFonts w:ascii="Calibri" w:cs="Calibri" w:eastAsia="Calibri" w:hAnsi="Calibri"/>
          <w:b/>
          <w:bCs/>
          <w:color w:val="8B6914"/>
          <w:sz w:val="18"/>
          <w:szCs w:val="18"/>
        </w:rPr>
        <w:t xml:space="preserve">APPROACH BRIEF</w:t>
      </w:r>
    </w:p>
    <w:p>
      <w:pPr>
        <w:spacing w:after="80" w:before="0"/>
      </w:pPr>
      <w:r>
        <w:rPr>
          <w:rFonts w:ascii="Calibri" w:cs="Calibri" w:eastAsia="Calibri" w:hAnsi="Calibri"/>
          <w:b/>
          <w:bCs/>
          <w:color w:val="1B3A4B"/>
          <w:sz w:val="32"/>
          <w:szCs w:val="32"/>
        </w:rPr>
        <w:t xml:space="preserve">Decoupling insect transmission from virion assembly and in-plant movement</w:t>
      </w:r>
    </w:p>
    <w:p>
      <w:pPr>
        <w:spacing w:after="80" w:before="0" w:line="276"/>
      </w:pPr>
      <w:r>
        <w:rPr>
          <w:rFonts w:ascii="Calibri" w:cs="Calibri" w:eastAsia="Calibri" w:hAnsi="Calibri"/>
          <w:i/>
          <w:iCs/>
          <w:color w:val="5A6570"/>
          <w:sz w:val="20"/>
          <w:szCs w:val="20"/>
        </w:rPr>
        <w:t xml:space="preserve">First trial system: Citrus tristeza virus (CTV) and the brown citrus aphid, Toxoptera citricida. Prepared 5 September 2026.</w:t>
      </w:r>
    </w:p>
    <w:p>
      <w:pPr>
        <w:spacing w:after="160" w:before="0" w:line="276"/>
      </w:pPr>
      <w:r>
        <w:rPr>
          <w:rFonts w:ascii="Calibri" w:cs="Calibri" w:eastAsia="Calibri" w:hAnsi="Calibri"/>
          <w:b/>
          <w:bCs/>
          <w:color w:val="222222"/>
          <w:sz w:val="22"/>
          <w:szCs w:val="22"/>
        </w:rPr>
        <w:t xml:space="preserve">Purpose. </w:t>
      </w:r>
      <w:r>
        <w:rPr>
          <w:rFonts w:ascii="Calibri" w:cs="Calibri" w:eastAsia="Calibri" w:hAnsi="Calibri"/>
          <w:color w:val="222222"/>
          <w:sz w:val="22"/>
          <w:szCs w:val="22"/>
        </w:rPr>
        <w:t xml:space="preserve">Identify mutations that leave a functional virion (self-assembly plus systemic movement inside the plant) but abolish or collapse insect-vector transmission, so plant-to-plant spread stops. This brief is a literature-based design, not a construction protocol.</w:t>
      </w:r>
    </w:p>
    <w:p>
      <w:pPr>
        <w:pStyle w:val="Heading1"/>
        <w:pBdr>
          <w:bottom w:val="single" w:color="2C5F6E" w:sz="12" w:space="4"/>
        </w:pBdr>
        <w:spacing w:after="120" w:before="280"/>
      </w:pPr>
      <w:r>
        <w:rPr>
          <w:rFonts w:ascii="Calibri" w:cs="Calibri" w:eastAsia="Calibri" w:hAnsi="Calibri"/>
          <w:b/>
          <w:bCs/>
          <w:color w:val="1B3A4B"/>
          <w:sz w:val="28"/>
          <w:szCs w:val="28"/>
        </w:rPr>
        <w:t xml:space="preserve">1. Design rule</w:t>
      </w:r>
    </w:p>
    <w:p>
      <w:pPr>
        <w:spacing w:after="160" w:before="0" w:line="276"/>
      </w:pPr>
      <w:r>
        <w:rPr>
          <w:rFonts w:ascii="Calibri" w:cs="Calibri" w:eastAsia="Calibri" w:hAnsi="Calibri"/>
          <w:b/>
          <w:bCs/>
          <w:color w:val="222222"/>
          <w:sz w:val="22"/>
          <w:szCs w:val="22"/>
        </w:rPr>
        <w:t xml:space="preserve">Do not start with the major coat protein (p25/CP). </w:t>
      </w:r>
      <w:r>
        <w:rPr>
          <w:rFonts w:ascii="Calibri" w:cs="Calibri" w:eastAsia="Calibri" w:hAnsi="Calibri"/>
          <w:color w:val="222222"/>
          <w:sz w:val="22"/>
          <w:szCs w:val="22"/>
        </w:rPr>
        <w:t xml:space="preserve">For closteroviruses the particle is bipolar: p25 coats most of the RNA; the minor coat protein p27 (CPm) coats ~630 nt at the 5′ end. Two chaperones, p65 (HSP70h) and p61 (HSP90-like), are required to assemble that tail and restrict CPm to the 5′ end (Satyanarayana et al. 2004). Aphid retention of CTV is at the cibarium and is competed by free p27, p61 and p65, not by p25 (Killiny et al. 2016).</w:t>
      </w:r>
    </w:p>
    <w:p>
      <w:pPr>
        <w:spacing w:after="160" w:before="0" w:line="276"/>
      </w:pPr>
      <w:r>
        <w:rPr>
          <w:rFonts w:ascii="Calibri" w:cs="Calibri" w:eastAsia="Calibri" w:hAnsi="Calibri"/>
          <w:b/>
          <w:bCs/>
          <w:color w:val="222222"/>
          <w:sz w:val="22"/>
          <w:szCs w:val="22"/>
        </w:rPr>
        <w:t xml:space="preserve">Implication. </w:t>
      </w:r>
      <w:r>
        <w:rPr>
          <w:rFonts w:ascii="Calibri" w:cs="Calibri" w:eastAsia="Calibri" w:hAnsi="Calibri"/>
          <w:color w:val="222222"/>
          <w:sz w:val="22"/>
          <w:szCs w:val="22"/>
        </w:rPr>
        <w:t xml:space="preserve">A “capsid mutation” that kills vector compatibility in CTV is a change in the CPm–p61–p65 tail complex, not a random p25 surface change. p25 mutations risk particle stability and silencing-suppressor function without touching the aphid interface.</w:t>
      </w:r>
    </w:p>
    <w:p>
      <w:pPr>
        <w:pStyle w:val="Heading1"/>
        <w:pBdr>
          <w:bottom w:val="single" w:color="2C5F6E" w:sz="12" w:space="4"/>
        </w:pBdr>
        <w:spacing w:after="120" w:before="280"/>
      </w:pPr>
      <w:r>
        <w:rPr>
          <w:rFonts w:ascii="Calibri" w:cs="Calibri" w:eastAsia="Calibri" w:hAnsi="Calibri"/>
          <w:b/>
          <w:bCs/>
          <w:color w:val="1B3A4B"/>
          <w:sz w:val="28"/>
          <w:szCs w:val="28"/>
        </w:rPr>
        <w:t xml:space="preserve">2. Proof that the two phenotypes can be separated</w:t>
      </w:r>
    </w:p>
    <w:p>
      <w:pPr>
        <w:spacing w:after="160" w:before="0" w:line="276"/>
      </w:pPr>
      <w:r>
        <w:rPr>
          <w:rFonts w:ascii="Calibri" w:cs="Calibri" w:eastAsia="Calibri" w:hAnsi="Calibri"/>
          <w:color w:val="222222"/>
          <w:sz w:val="22"/>
          <w:szCs w:val="22"/>
        </w:rPr>
        <w:t xml:space="preserve">T36 (greenhouse-propagated, poorly transmitted) and FS577 (field isolate, highly transmitted) belong to the same T36 strain lineage and differ by ~2% nucleotide identity. p27 is identical. Replacing FS577 p61 and/or p65 into the T36 infectious clone 947R restored transmission without changing titer (Harper et al. 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spacing w:after="0" w:before="0" w:line="240"/>
            </w:pPr>
            <w:r>
              <w:rPr>
                <w:rFonts w:ascii="Calibri" w:cs="Calibri" w:eastAsia="Calibri" w:hAnsi="Calibri"/>
                <w:b/>
                <w:bCs/>
                <w:i w:val="false"/>
                <w:iCs w:val="false"/>
                <w:color w:val="FFFFFF"/>
                <w:sz w:val="18"/>
                <w:szCs w:val="18"/>
              </w:rPr>
              <w:t xml:space="preserve">Construct</w:t>
            </w:r>
          </w:p>
        </w:tc>
        <w:tc>
          <w:tcPr>
            <w:tcW w:type="dxa" w:w="164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spacing w:after="0" w:before="0" w:line="240"/>
            </w:pPr>
            <w:r>
              <w:rPr>
                <w:rFonts w:ascii="Calibri" w:cs="Calibri" w:eastAsia="Calibri" w:hAnsi="Calibri"/>
                <w:b/>
                <w:bCs/>
                <w:i w:val="false"/>
                <w:iCs w:val="false"/>
                <w:color w:val="FFFFFF"/>
                <w:sz w:val="18"/>
                <w:szCs w:val="18"/>
              </w:rPr>
              <w:t xml:space="preserve">Genes from FS577</w:t>
            </w:r>
          </w:p>
        </w:tc>
        <w:tc>
          <w:tcPr>
            <w:tcW w:type="dxa" w:w="164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spacing w:after="0" w:before="0" w:line="240"/>
            </w:pPr>
            <w:r>
              <w:rPr>
                <w:rFonts w:ascii="Calibri" w:cs="Calibri" w:eastAsia="Calibri" w:hAnsi="Calibri"/>
                <w:b/>
                <w:bCs/>
                <w:i w:val="false"/>
                <w:iCs w:val="false"/>
                <w:color w:val="FFFFFF"/>
                <w:sz w:val="18"/>
                <w:szCs w:val="18"/>
              </w:rPr>
              <w:t xml:space="preserve">Positives</w:t>
            </w:r>
          </w:p>
        </w:tc>
        <w:tc>
          <w:tcPr>
            <w:tcW w:type="dxa" w:w="164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spacing w:after="0" w:before="0" w:line="240"/>
            </w:pPr>
            <w:r>
              <w:rPr>
                <w:rFonts w:ascii="Calibri" w:cs="Calibri" w:eastAsia="Calibri" w:hAnsi="Calibri"/>
                <w:b/>
                <w:bCs/>
                <w:i w:val="false"/>
                <w:iCs w:val="false"/>
                <w:color w:val="FFFFFF"/>
                <w:sz w:val="18"/>
                <w:szCs w:val="18"/>
              </w:rPr>
              <w:t xml:space="preserve">n</w:t>
            </w:r>
          </w:p>
        </w:tc>
        <w:tc>
          <w:tcPr>
            <w:tcW w:type="dxa" w:w="164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spacing w:after="0" w:before="0" w:line="240"/>
            </w:pPr>
            <w:r>
              <w:rPr>
                <w:rFonts w:ascii="Calibri" w:cs="Calibri" w:eastAsia="Calibri" w:hAnsi="Calibri"/>
                <w:b/>
                <w:bCs/>
                <w:i w:val="false"/>
                <w:iCs w:val="false"/>
                <w:color w:val="FFFFFF"/>
                <w:sz w:val="18"/>
                <w:szCs w:val="18"/>
              </w:rPr>
              <w:t xml:space="preserve">Rate</w:t>
            </w:r>
          </w:p>
        </w:tc>
      </w:tr>
      <w:tr>
        <w:tc>
          <w:tcPr>
            <w:tcW w:type="dxa" w:w="280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T36 infectious clone</w:t>
            </w:r>
          </w:p>
        </w:tc>
        <w:tc>
          <w:tcPr>
            <w:tcW w:type="dxa" w:w="164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none</w:t>
            </w:r>
          </w:p>
        </w:tc>
        <w:tc>
          <w:tcPr>
            <w:tcW w:type="dxa" w:w="164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1</w:t>
            </w:r>
          </w:p>
        </w:tc>
        <w:tc>
          <w:tcPr>
            <w:tcW w:type="dxa" w:w="164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172</w:t>
            </w:r>
          </w:p>
        </w:tc>
        <w:tc>
          <w:tcPr>
            <w:tcW w:type="dxa" w:w="164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0.6%</w:t>
            </w:r>
          </w:p>
        </w:tc>
      </w:tr>
      <w:tr>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T36 + FS577 p65</w:t>
            </w:r>
          </w:p>
        </w:tc>
        <w:tc>
          <w:tcPr>
            <w:tcW w:type="dxa" w:w="164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p65</w:t>
            </w:r>
          </w:p>
        </w:tc>
        <w:tc>
          <w:tcPr>
            <w:tcW w:type="dxa" w:w="164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5</w:t>
            </w:r>
          </w:p>
        </w:tc>
        <w:tc>
          <w:tcPr>
            <w:tcW w:type="dxa" w:w="164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258</w:t>
            </w:r>
          </w:p>
        </w:tc>
        <w:tc>
          <w:tcPr>
            <w:tcW w:type="dxa" w:w="234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1.9%</w:t>
            </w:r>
          </w:p>
        </w:tc>
      </w:tr>
      <w:tr>
        <w:tc>
          <w:tcPr>
            <w:tcW w:type="dxa" w:w="280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T36 + FS577 p61</w:t>
            </w:r>
          </w:p>
        </w:tc>
        <w:tc>
          <w:tcPr>
            <w:tcW w:type="dxa" w:w="164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p61</w:t>
            </w:r>
          </w:p>
        </w:tc>
        <w:tc>
          <w:tcPr>
            <w:tcW w:type="dxa" w:w="164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11</w:t>
            </w:r>
          </w:p>
        </w:tc>
        <w:tc>
          <w:tcPr>
            <w:tcW w:type="dxa" w:w="164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273</w:t>
            </w:r>
          </w:p>
        </w:tc>
        <w:tc>
          <w:tcPr>
            <w:tcW w:type="dxa" w:w="164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4.0%</w:t>
            </w:r>
          </w:p>
        </w:tc>
      </w:tr>
      <w:tr>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T36 + FS577 p65+p61</w:t>
            </w:r>
          </w:p>
        </w:tc>
        <w:tc>
          <w:tcPr>
            <w:tcW w:type="dxa" w:w="164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p65 and p61</w:t>
            </w:r>
          </w:p>
        </w:tc>
        <w:tc>
          <w:tcPr>
            <w:tcW w:type="dxa" w:w="164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35</w:t>
            </w:r>
          </w:p>
        </w:tc>
        <w:tc>
          <w:tcPr>
            <w:tcW w:type="dxa" w:w="164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196</w:t>
            </w:r>
          </w:p>
        </w:tc>
        <w:tc>
          <w:tcPr>
            <w:tcW w:type="dxa" w:w="234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17.9%</w:t>
            </w:r>
          </w:p>
        </w:tc>
      </w:tr>
      <w:tr>
        <w:tc>
          <w:tcPr>
            <w:tcW w:type="dxa" w:w="280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FS577 wild type</w:t>
            </w:r>
          </w:p>
        </w:tc>
        <w:tc>
          <w:tcPr>
            <w:tcW w:type="dxa" w:w="164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native</w:t>
            </w:r>
          </w:p>
        </w:tc>
        <w:tc>
          <w:tcPr>
            <w:tcW w:type="dxa" w:w="164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95</w:t>
            </w:r>
          </w:p>
        </w:tc>
        <w:tc>
          <w:tcPr>
            <w:tcW w:type="dxa" w:w="164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394</w:t>
            </w:r>
          </w:p>
        </w:tc>
        <w:tc>
          <w:tcPr>
            <w:tcW w:type="dxa" w:w="164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24.1%</w:t>
            </w:r>
          </w:p>
        </w:tc>
      </w:tr>
      <w:tr>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T36 + FS577 p6–p18 block</w:t>
            </w:r>
          </w:p>
        </w:tc>
        <w:tc>
          <w:tcPr>
            <w:tcW w:type="dxa" w:w="164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p6 through p18</w:t>
            </w:r>
          </w:p>
        </w:tc>
        <w:tc>
          <w:tcPr>
            <w:tcW w:type="dxa" w:w="164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52</w:t>
            </w:r>
          </w:p>
        </w:tc>
        <w:tc>
          <w:tcPr>
            <w:tcW w:type="dxa" w:w="164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253</w:t>
            </w:r>
          </w:p>
        </w:tc>
        <w:tc>
          <w:tcPr>
            <w:tcW w:type="dxa" w:w="234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20.6%</w:t>
            </w:r>
          </w:p>
        </w:tc>
      </w:tr>
    </w:tbl>
    <w:p>
      <w:pPr>
        <w:spacing w:after="160" w:before="0" w:line="276"/>
      </w:pPr>
      <w:r>
        <w:rPr>
          <w:rFonts w:ascii="Calibri" w:cs="Calibri" w:eastAsia="Calibri" w:hAnsi="Calibri"/>
          <w:i/>
          <w:iCs/>
          <w:color w:val="5A6570"/>
          <w:sz w:val="20"/>
          <w:szCs w:val="20"/>
        </w:rPr>
        <w:t xml:space="preserve">Transmission by T. citricida in batches of 10 aphids; ELISA readout at 8 weeks. RT-qPCR and ELISA of source plants showed no titer difference among hybrids (Harper et al. 2016). All hybrids infected Citrus macrophylla systemically. Direction of the experiment: FS577 alleles restore transmission to T36. The inverse — T36 alleles in a transmissible backbone — is the first-trial knockout.</w:t>
      </w:r>
    </w:p>
    <w:p>
      <w:pPr>
        <w:pStyle w:val="Heading1"/>
        <w:pBdr>
          <w:bottom w:val="single" w:color="2C5F6E" w:sz="12" w:space="4"/>
        </w:pBdr>
        <w:spacing w:after="120" w:before="280"/>
      </w:pPr>
      <w:r>
        <w:rPr>
          <w:rFonts w:ascii="Calibri" w:cs="Calibri" w:eastAsia="Calibri" w:hAnsi="Calibri"/>
          <w:b/>
          <w:bCs/>
          <w:color w:val="1B3A4B"/>
          <w:sz w:val="28"/>
          <w:szCs w:val="28"/>
        </w:rPr>
        <w:t xml:space="preserve">3. Recommended first trial</w:t>
      </w:r>
    </w:p>
    <w:p>
      <w:pPr>
        <w:pStyle w:val="Heading2"/>
        <w:spacing w:after="80" w:before="220"/>
      </w:pPr>
      <w:r>
        <w:rPr>
          <w:rFonts w:ascii="Calibri" w:cs="Calibri" w:eastAsia="Calibri" w:hAnsi="Calibri"/>
          <w:b/>
          <w:bCs/>
          <w:color w:val="2C5F6E"/>
          <w:sz w:val="24"/>
          <w:szCs w:val="24"/>
        </w:rPr>
        <w:t xml:space="preserve">Construct</w:t>
      </w:r>
    </w:p>
    <w:p>
      <w:pPr>
        <w:spacing w:after="160" w:before="0" w:line="276"/>
      </w:pPr>
      <w:r>
        <w:rPr>
          <w:rFonts w:ascii="Calibri" w:cs="Calibri" w:eastAsia="Calibri" w:hAnsi="Calibri"/>
          <w:color w:val="222222"/>
          <w:sz w:val="22"/>
          <w:szCs w:val="22"/>
        </w:rPr>
        <w:t xml:space="preserve">Place the T36-clone alleles of p61 and p65 together into a highly transmissible infectious clone (FS577 or T68), or simply use the existing T36 clone 947R as the non-transmissible control. </w:t>
      </w:r>
      <w:r>
        <w:rPr>
          <w:rFonts w:ascii="Calibri" w:cs="Calibri" w:eastAsia="Calibri" w:hAnsi="Calibri"/>
          <w:b/>
          <w:bCs/>
          <w:color w:val="222222"/>
          <w:sz w:val="22"/>
          <w:szCs w:val="22"/>
        </w:rPr>
        <w:t xml:space="preserve">Both genes must move together.</w:t>
      </w:r>
      <w:r>
        <w:rPr>
          <w:rFonts w:ascii="Calibri" w:cs="Calibri" w:eastAsia="Calibri" w:hAnsi="Calibri"/>
          <w:color w:val="222222"/>
          <w:sz w:val="22"/>
          <w:szCs w:val="22"/>
        </w:rPr>
        <w:t xml:space="preserve"> Single-gene swaps only raised transmission from 0.6% to 2–4%; both genes reached 18% (Harper et al. 2016). p65 and p61 co-evolved and jointly restrict CPm to the virion tail (Satyanarayana et al. 2004).</w:t>
      </w:r>
    </w:p>
    <w:p>
      <w:pPr>
        <w:spacing w:after="160" w:before="0" w:line="276"/>
      </w:pPr>
      <w:r>
        <w:rPr>
          <w:rFonts w:ascii="Calibri" w:cs="Calibri" w:eastAsia="Calibri" w:hAnsi="Calibri"/>
          <w:b/>
          <w:bCs/>
          <w:color w:val="222222"/>
          <w:sz w:val="22"/>
          <w:szCs w:val="22"/>
        </w:rPr>
        <w:t xml:space="preserve">Sequences. </w:t>
      </w:r>
      <w:r>
        <w:rPr>
          <w:rFonts w:ascii="Calibri" w:cs="Calibri" w:eastAsia="Calibri" w:hAnsi="Calibri"/>
          <w:color w:val="222222"/>
          <w:sz w:val="22"/>
          <w:szCs w:val="22"/>
        </w:rPr>
        <w:t xml:space="preserve">Transmissible reference FS577, GenBank KC517488. T36 infectious clone, GenBank AY170468 (clone 947R; Satyanarayana et al. 1999). Amino-acid differences below were obtained by aligning the annotated CDS translations of those accessions.</w:t>
      </w:r>
    </w:p>
    <w:p>
      <w:pPr>
        <w:pStyle w:val="Heading2"/>
        <w:spacing w:after="80" w:before="220"/>
      </w:pPr>
      <w:r>
        <w:rPr>
          <w:rFonts w:ascii="Calibri" w:cs="Calibri" w:eastAsia="Calibri" w:hAnsi="Calibri"/>
          <w:b/>
          <w:bCs/>
          <w:color w:val="2C5F6E"/>
          <w:sz w:val="24"/>
          <w:szCs w:val="24"/>
        </w:rPr>
        <w:t xml:space="preserve">T36 clone versus FS577 substitutions to introduce</w:t>
      </w:r>
    </w:p>
    <w:p>
      <w:pPr>
        <w:spacing w:after="160" w:before="0" w:line="276"/>
      </w:pPr>
      <w:r>
        <w:rPr>
          <w:rFonts w:ascii="Calibri" w:cs="Calibri" w:eastAsia="Calibri" w:hAnsi="Calibri"/>
          <w:i/>
          <w:iCs/>
          <w:color w:val="5A6570"/>
          <w:sz w:val="20"/>
          <w:szCs w:val="20"/>
        </w:rPr>
        <w:t xml:space="preserve">Direction shown as FS577 (transmissible) → T36 (poorly transmissible). These are the residues that distinguish the two proteins in the clone actually used by Harper et 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spacing w:after="0" w:before="0" w:line="240"/>
            </w:pPr>
            <w:r>
              <w:rPr>
                <w:rFonts w:ascii="Calibri" w:cs="Calibri" w:eastAsia="Calibri" w:hAnsi="Calibri"/>
                <w:b/>
                <w:bCs/>
                <w:i w:val="false"/>
                <w:iCs w:val="false"/>
                <w:color w:val="FFFFFF"/>
                <w:sz w:val="18"/>
                <w:szCs w:val="18"/>
              </w:rPr>
              <w:t xml:space="preserve">Protein</w:t>
            </w:r>
          </w:p>
        </w:tc>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spacing w:after="0" w:before="0" w:line="240"/>
            </w:pPr>
            <w:r>
              <w:rPr>
                <w:rFonts w:ascii="Calibri" w:cs="Calibri" w:eastAsia="Calibri" w:hAnsi="Calibri"/>
                <w:b/>
                <w:bCs/>
                <w:i w:val="false"/>
                <w:iCs w:val="false"/>
                <w:color w:val="FFFFFF"/>
                <w:sz w:val="18"/>
                <w:szCs w:val="18"/>
              </w:rPr>
              <w:t xml:space="preserve">Count</w:t>
            </w:r>
          </w:p>
        </w:tc>
        <w:tc>
          <w:tcPr>
            <w:tcW w:type="dxa" w:w="636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spacing w:after="0" w:before="0" w:line="240"/>
            </w:pPr>
            <w:r>
              <w:rPr>
                <w:rFonts w:ascii="Calibri" w:cs="Calibri" w:eastAsia="Calibri" w:hAnsi="Calibri"/>
                <w:b/>
                <w:bCs/>
                <w:i w:val="false"/>
                <w:iCs w:val="false"/>
                <w:color w:val="FFFFFF"/>
                <w:sz w:val="18"/>
                <w:szCs w:val="18"/>
              </w:rPr>
              <w:t xml:space="preserve">FS577 → T36 substitutions (AY170468 numbering)</w:t>
            </w:r>
          </w:p>
        </w:tc>
      </w:tr>
      <w:tr>
        <w:tc>
          <w:tcPr>
            <w:tcW w:type="dxa" w:w="160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bCs/>
                <w:i w:val="false"/>
                <w:iCs w:val="false"/>
                <w:color w:val="222222"/>
                <w:sz w:val="18"/>
                <w:szCs w:val="18"/>
              </w:rPr>
              <w:t xml:space="preserve">p61</w:t>
            </w:r>
          </w:p>
        </w:tc>
        <w:tc>
          <w:tcPr>
            <w:tcW w:type="dxa" w:w="140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9</w:t>
            </w:r>
          </w:p>
        </w:tc>
        <w:tc>
          <w:tcPr>
            <w:tcW w:type="dxa" w:w="636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S169N, I179T, T224A, M289T, D324G, E382D, S391G, I455V, D458G</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bCs/>
                <w:i w:val="false"/>
                <w:iCs w:val="false"/>
                <w:color w:val="222222"/>
                <w:sz w:val="18"/>
                <w:szCs w:val="18"/>
              </w:rPr>
              <w:t xml:space="preserve">p65</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2</w:t>
            </w:r>
          </w:p>
        </w:tc>
        <w:tc>
          <w:tcPr>
            <w:tcW w:type="dxa" w:w="636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G227S, R496H</w:t>
            </w:r>
          </w:p>
        </w:tc>
      </w:tr>
      <w:tr>
        <w:tc>
          <w:tcPr>
            <w:tcW w:type="dxa" w:w="160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bCs/>
                <w:i w:val="false"/>
                <w:iCs w:val="false"/>
                <w:color w:val="222222"/>
                <w:sz w:val="18"/>
                <w:szCs w:val="18"/>
              </w:rPr>
              <w:t xml:space="preserve">p27 / CPm</w:t>
            </w:r>
          </w:p>
        </w:tc>
        <w:tc>
          <w:tcPr>
            <w:tcW w:type="dxa" w:w="140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0</w:t>
            </w:r>
          </w:p>
        </w:tc>
        <w:tc>
          <w:tcPr>
            <w:tcW w:type="dxa" w:w="636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Identical. Do not mutate in trial 1.</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bCs/>
                <w:i w:val="false"/>
                <w:iCs w:val="false"/>
                <w:color w:val="222222"/>
                <w:sz w:val="18"/>
                <w:szCs w:val="18"/>
              </w:rPr>
              <w:t xml:space="preserve">p25 / CP</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1</w:t>
            </w:r>
          </w:p>
        </w:tc>
        <w:tc>
          <w:tcPr>
            <w:tcW w:type="dxa" w:w="636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I209V only. Not implicated in binding assays. Leave wild type.</w:t>
            </w:r>
          </w:p>
        </w:tc>
      </w:tr>
    </w:tbl>
    <w:p>
      <w:pPr>
        <w:spacing w:after="160" w:before="0" w:line="276"/>
      </w:pPr>
      <w:r>
        <w:rPr>
          <w:rFonts w:ascii="Calibri" w:cs="Calibri" w:eastAsia="Calibri" w:hAnsi="Calibri"/>
          <w:i/>
          <w:iCs/>
          <w:color w:val="5A6570"/>
          <w:sz w:val="20"/>
          <w:szCs w:val="20"/>
        </w:rPr>
        <w:t xml:space="preserve">Note: the original T36 genome U16304 differs from AY170468 at additional p65 and p61 sites. Use the clone sequence (AY170468) because that is what Harper et al. tested. Harper 2013 separately counted nine p61 and three p65 nonsynonymous changes between greenhouse T36 and Florida field T36-like isolates, consistent with loss of transmission under graft-only passage.</w:t>
      </w:r>
    </w:p>
    <w:p>
      <w:pPr>
        <w:pStyle w:val="Heading2"/>
        <w:spacing w:after="80" w:before="220"/>
      </w:pPr>
      <w:r>
        <w:rPr>
          <w:rFonts w:ascii="Calibri" w:cs="Calibri" w:eastAsia="Calibri" w:hAnsi="Calibri"/>
          <w:b/>
          <w:bCs/>
          <w:color w:val="2C5F6E"/>
          <w:sz w:val="24"/>
          <w:szCs w:val="24"/>
        </w:rPr>
        <w:t xml:space="preserve">Why this is the right first trial</w:t>
      </w:r>
    </w:p>
    <w:p>
      <w:pPr>
        <w:pStyle w:val="ListParagraph"/>
        <w:numPr>
          <w:ilvl w:val="0"/>
          <w:numId w:val="2"/>
        </w:numPr>
        <w:spacing w:after="60" w:line="276"/>
      </w:pPr>
      <w:r>
        <w:rPr>
          <w:rFonts w:ascii="Calibri" w:cs="Calibri" w:eastAsia="Calibri" w:hAnsi="Calibri"/>
          <w:sz w:val="22"/>
          <w:szCs w:val="22"/>
        </w:rPr>
        <w:t xml:space="preserve">Already shown to preserve assembly and systemic infection in C. macrophylla at parental titer (Harper et al. 2016).</w:t>
      </w:r>
    </w:p>
    <w:p>
      <w:pPr>
        <w:pStyle w:val="ListParagraph"/>
        <w:numPr>
          <w:ilvl w:val="0"/>
          <w:numId w:val="2"/>
        </w:numPr>
        <w:spacing w:after="60" w:line="276"/>
      </w:pPr>
      <w:r>
        <w:rPr>
          <w:rFonts w:ascii="Calibri" w:cs="Calibri" w:eastAsia="Calibri" w:hAnsi="Calibri"/>
          <w:sz w:val="22"/>
          <w:szCs w:val="22"/>
        </w:rPr>
        <w:t xml:space="preserve">Does not require guessing CPm surface residues; no CTV CPm residue map exists.</w:t>
      </w:r>
    </w:p>
    <w:p>
      <w:pPr>
        <w:pStyle w:val="ListParagraph"/>
        <w:numPr>
          <w:ilvl w:val="0"/>
          <w:numId w:val="2"/>
        </w:numPr>
        <w:spacing w:after="60" w:line="276"/>
      </w:pPr>
      <w:r>
        <w:rPr>
          <w:rFonts w:ascii="Calibri" w:cs="Calibri" w:eastAsia="Calibri" w:hAnsi="Calibri"/>
          <w:sz w:val="22"/>
          <w:szCs w:val="22"/>
        </w:rPr>
        <w:t xml:space="preserve">Mirrors a naturally arisen greenhouse isolate, so the phenotype is biologically real rather than a lethal truncation.</w:t>
      </w:r>
    </w:p>
    <w:p>
      <w:pPr>
        <w:pStyle w:val="ListParagraph"/>
        <w:numPr>
          <w:ilvl w:val="0"/>
          <w:numId w:val="2"/>
        </w:numPr>
        <w:spacing w:after="160" w:line="276"/>
      </w:pPr>
      <w:r>
        <w:rPr>
          <w:rFonts w:ascii="Calibri" w:cs="Calibri" w:eastAsia="Calibri" w:hAnsi="Calibri"/>
          <w:sz w:val="22"/>
          <w:szCs w:val="22"/>
        </w:rPr>
        <w:t xml:space="preserve">p27 remains intact, so the particle still has a CPm tail; only the co-evolved p61/p65 partners change.</w:t>
      </w:r>
    </w:p>
    <w:p>
      <w:pPr>
        <w:pStyle w:val="Heading1"/>
        <w:pBdr>
          <w:bottom w:val="single" w:color="2C5F6E" w:sz="12" w:space="4"/>
        </w:pBdr>
        <w:spacing w:after="120" w:before="280"/>
      </w:pPr>
      <w:r>
        <w:rPr>
          <w:rFonts w:ascii="Calibri" w:cs="Calibri" w:eastAsia="Calibri" w:hAnsi="Calibri"/>
          <w:b/>
          <w:bCs/>
          <w:color w:val="1B3A4B"/>
          <w:sz w:val="28"/>
          <w:szCs w:val="28"/>
        </w:rPr>
        <w:t xml:space="preserve">4. Assay plan</w:t>
      </w:r>
    </w:p>
    <w:p>
      <w:pPr>
        <w:pStyle w:val="ListParagraph"/>
        <w:numPr>
          <w:ilvl w:val="0"/>
          <w:numId w:val="3"/>
        </w:numPr>
        <w:spacing w:after="80" w:line="276"/>
      </w:pPr>
      <w:r>
        <w:rPr>
          <w:rFonts w:ascii="Calibri" w:cs="Calibri" w:eastAsia="Calibri" w:hAnsi="Calibri"/>
          <w:sz w:val="22"/>
          <w:szCs w:val="22"/>
        </w:rPr>
        <w:t xml:space="preserve">Build three clones on the same backbone: (A) transmissible parent; (B) parent with T36 p61 only; (C) parent with T36 p65 only; (D) parent with both T36 p61 and p65. Confirm sequence.</w:t>
      </w:r>
    </w:p>
    <w:p>
      <w:pPr>
        <w:pStyle w:val="ListParagraph"/>
        <w:numPr>
          <w:ilvl w:val="0"/>
          <w:numId w:val="3"/>
        </w:numPr>
        <w:spacing w:after="80" w:line="276"/>
      </w:pPr>
      <w:r>
        <w:rPr>
          <w:rFonts w:ascii="Calibri" w:cs="Calibri" w:eastAsia="Calibri" w:hAnsi="Calibri"/>
          <w:sz w:val="22"/>
          <w:szCs w:val="22"/>
        </w:rPr>
        <w:t xml:space="preserve">Inoculate C. macrophylla. Score systemic infection by ELISA and RT-qPCR of flush. Fail the construct if titer falls relative to parent (assembly or movement hit).</w:t>
      </w:r>
    </w:p>
    <w:p>
      <w:pPr>
        <w:pStyle w:val="ListParagraph"/>
        <w:numPr>
          <w:ilvl w:val="0"/>
          <w:numId w:val="3"/>
        </w:numPr>
        <w:spacing w:after="80" w:line="276"/>
      </w:pPr>
      <w:r>
        <w:rPr>
          <w:rFonts w:ascii="Calibri" w:cs="Calibri" w:eastAsia="Calibri" w:hAnsi="Calibri"/>
          <w:sz w:val="22"/>
          <w:szCs w:val="22"/>
        </w:rPr>
        <w:t xml:space="preserve">Aphid assay as in Harper et al. 2016: 24 h acquisition on source flush, 10 T. citricida per seedling, 24 h inoculation, ELISA at 8 weeks. Power the test to distinguish ~1% from ~20%.</w:t>
      </w:r>
    </w:p>
    <w:p>
      <w:pPr>
        <w:pStyle w:val="ListParagraph"/>
        <w:numPr>
          <w:ilvl w:val="0"/>
          <w:numId w:val="3"/>
        </w:numPr>
        <w:spacing w:after="80" w:line="276"/>
      </w:pPr>
      <w:r>
        <w:rPr>
          <w:rFonts w:ascii="Calibri" w:cs="Calibri" w:eastAsia="Calibri" w:hAnsi="Calibri"/>
          <w:sz w:val="22"/>
          <w:szCs w:val="22"/>
        </w:rPr>
        <w:t xml:space="preserve">Optional binding assay: fluorescent virions on dissected cibaria, competed with free p27/p61/p65 (Killiny et al. 2016). A transmission-dead particle that still binds is a different failure mode from a particle that never docks.</w:t>
      </w:r>
    </w:p>
    <w:p>
      <w:pPr>
        <w:pStyle w:val="ListParagraph"/>
        <w:numPr>
          <w:ilvl w:val="0"/>
          <w:numId w:val="3"/>
        </w:numPr>
        <w:spacing w:after="160" w:line="276"/>
      </w:pPr>
      <w:r>
        <w:rPr>
          <w:rFonts w:ascii="Calibri" w:cs="Calibri" w:eastAsia="Calibri" w:hAnsi="Calibri"/>
          <w:sz w:val="22"/>
          <w:szCs w:val="22"/>
        </w:rPr>
        <w:t xml:space="preserve">Do not score transmission from mixed-genotype trees. T36 transmission rose from 0.5% to as high as 35.7% when co-infecting genotypes were present (Harper et al. 2018). Test clones as single infections.</w:t>
      </w:r>
    </w:p>
    <w:p>
      <w:pPr>
        <w:pStyle w:val="Heading1"/>
        <w:pBdr>
          <w:bottom w:val="single" w:color="2C5F6E" w:sz="12" w:space="4"/>
        </w:pBdr>
        <w:spacing w:after="120" w:before="280"/>
      </w:pPr>
      <w:r>
        <w:rPr>
          <w:rFonts w:ascii="Calibri" w:cs="Calibri" w:eastAsia="Calibri" w:hAnsi="Calibri"/>
          <w:b/>
          <w:bCs/>
          <w:color w:val="1B3A4B"/>
          <w:sz w:val="28"/>
          <w:szCs w:val="28"/>
        </w:rPr>
        <w:t xml:space="preserve">5. Phase 2 if a true CPm point mutant is required</w:t>
      </w:r>
    </w:p>
    <w:p>
      <w:pPr>
        <w:spacing w:after="160" w:before="0" w:line="276"/>
      </w:pPr>
      <w:r>
        <w:rPr>
          <w:rFonts w:ascii="Calibri" w:cs="Calibri" w:eastAsia="Calibri" w:hAnsi="Calibri"/>
          <w:color w:val="222222"/>
          <w:sz w:val="22"/>
          <w:szCs w:val="22"/>
        </w:rPr>
        <w:t xml:space="preserve">p27 is the CTV protein that most closely matches “capsid mutation.” It is the competitor for cibarial binding (Killiny et al. 2016) and is the vector-interface protein in the related crinivirus lettuce infectious yellows virus (LIYV). In LIYV, a CPm frameshift that truncates the protein still allowed virion formation and systemic movement but abolished whitefly transmission (Stewart et al. 2010; Ng et al. 2004). That is the existence proof for a CPm-only split, but it is a truncation, not a clean point mutant, and it is not CTV.</w:t>
      </w:r>
    </w:p>
    <w:p>
      <w:pPr>
        <w:spacing w:after="160" w:before="0" w:line="276"/>
      </w:pPr>
      <w:r>
        <w:rPr>
          <w:rFonts w:ascii="Calibri" w:cs="Calibri" w:eastAsia="Calibri" w:hAnsi="Calibri"/>
          <w:color w:val="222222"/>
          <w:sz w:val="22"/>
          <w:szCs w:val="22"/>
        </w:rPr>
        <w:t xml:space="preserve">No published CTV p27 residue is known to kill aphid transmission while sparing assembly. A phase-2 map would:</w:t>
      </w:r>
    </w:p>
    <w:p>
      <w:pPr>
        <w:pStyle w:val="ListParagraph"/>
        <w:numPr>
          <w:ilvl w:val="0"/>
          <w:numId w:val="4"/>
        </w:numPr>
        <w:spacing w:after="60" w:line="276"/>
      </w:pPr>
      <w:r>
        <w:rPr>
          <w:rFonts w:ascii="Calibri" w:cs="Calibri" w:eastAsia="Calibri" w:hAnsi="Calibri"/>
          <w:sz w:val="22"/>
          <w:szCs w:val="22"/>
        </w:rPr>
        <w:t xml:space="preserve">Align CPm across CTV strains and other closteroviruses; prioritize surface-exposed, positively selected, or strain-variable sites (positive selection has been reported at CPm codon 9 in Chinese isolates; Wu et al. 2015).</w:t>
      </w:r>
    </w:p>
    <w:p>
      <w:pPr>
        <w:pStyle w:val="ListParagraph"/>
        <w:numPr>
          <w:ilvl w:val="0"/>
          <w:numId w:val="4"/>
        </w:numPr>
        <w:spacing w:after="60" w:line="276"/>
      </w:pPr>
      <w:r>
        <w:rPr>
          <w:rFonts w:ascii="Calibri" w:cs="Calibri" w:eastAsia="Calibri" w:hAnsi="Calibri"/>
          <w:sz w:val="22"/>
          <w:szCs w:val="22"/>
        </w:rPr>
        <w:t xml:space="preserve">Make single non-conservative substitutions, not truncations. Truncations risk tail assembly even if LIYV tolerated one.</w:t>
      </w:r>
    </w:p>
    <w:p>
      <w:pPr>
        <w:pStyle w:val="ListParagraph"/>
        <w:numPr>
          <w:ilvl w:val="0"/>
          <w:numId w:val="4"/>
        </w:numPr>
        <w:spacing w:after="160" w:line="276"/>
      </w:pPr>
      <w:r>
        <w:rPr>
          <w:rFonts w:ascii="Calibri" w:cs="Calibri" w:eastAsia="Calibri" w:hAnsi="Calibri"/>
          <w:sz w:val="22"/>
          <w:szCs w:val="22"/>
        </w:rPr>
        <w:t xml:space="preserve">Keep p61 and p65 as the transmissible alleles so a CPm effect is not confounded by the T36 chaperone background.</w:t>
      </w:r>
    </w:p>
    <w:p>
      <w:pPr>
        <w:pStyle w:val="Heading1"/>
        <w:pBdr>
          <w:bottom w:val="single" w:color="2C5F6E" w:sz="12" w:space="4"/>
        </w:pBdr>
        <w:spacing w:after="120" w:before="280"/>
      </w:pPr>
      <w:r>
        <w:rPr>
          <w:rFonts w:ascii="Calibri" w:cs="Calibri" w:eastAsia="Calibri" w:hAnsi="Calibri"/>
          <w:b/>
          <w:bCs/>
          <w:color w:val="1B3A4B"/>
          <w:sz w:val="28"/>
          <w:szCs w:val="28"/>
        </w:rPr>
        <w:t xml:space="preserve">6. Analogues in other families (context only)</w:t>
      </w:r>
    </w:p>
    <w:p>
      <w:pPr>
        <w:spacing w:after="160" w:before="0" w:line="276"/>
      </w:pPr>
      <w:r>
        <w:rPr>
          <w:rFonts w:ascii="Calibri" w:cs="Calibri" w:eastAsia="Calibri" w:hAnsi="Calibri"/>
          <w:color w:val="222222"/>
          <w:sz w:val="22"/>
          <w:szCs w:val="22"/>
        </w:rPr>
        <w:t xml:space="preserve">These show the same split is general, but the motifs do not transfer onto CTV.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spacing w:after="0" w:before="0" w:line="240"/>
            </w:pPr>
            <w:r>
              <w:rPr>
                <w:rFonts w:ascii="Calibri" w:cs="Calibri" w:eastAsia="Calibri" w:hAnsi="Calibri"/>
                <w:b/>
                <w:bCs/>
                <w:i w:val="false"/>
                <w:iCs w:val="false"/>
                <w:color w:val="FFFFFF"/>
                <w:sz w:val="18"/>
                <w:szCs w:val="18"/>
              </w:rPr>
              <w:t xml:space="preserve">System</w:t>
            </w:r>
          </w:p>
        </w:tc>
        <w:tc>
          <w:tcPr>
            <w:tcW w:type="dxa" w:w="28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spacing w:after="0" w:before="0" w:line="240"/>
            </w:pPr>
            <w:r>
              <w:rPr>
                <w:rFonts w:ascii="Calibri" w:cs="Calibri" w:eastAsia="Calibri" w:hAnsi="Calibri"/>
                <w:b/>
                <w:bCs/>
                <w:i w:val="false"/>
                <w:iCs w:val="false"/>
                <w:color w:val="FFFFFF"/>
                <w:sz w:val="18"/>
                <w:szCs w:val="18"/>
              </w:rPr>
              <w:t xml:space="preserve">Vector protein</w:t>
            </w:r>
          </w:p>
        </w:tc>
        <w:tc>
          <w:tcPr>
            <w:tcW w:type="dxa" w:w="436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spacing w:after="0" w:before="0" w:line="240"/>
            </w:pPr>
            <w:r>
              <w:rPr>
                <w:rFonts w:ascii="Calibri" w:cs="Calibri" w:eastAsia="Calibri" w:hAnsi="Calibri"/>
                <w:b/>
                <w:bCs/>
                <w:i w:val="false"/>
                <w:iCs w:val="false"/>
                <w:color w:val="FFFFFF"/>
                <w:sz w:val="18"/>
                <w:szCs w:val="18"/>
              </w:rPr>
              <w:t xml:space="preserve">Example that spare movement / kill transmission</w:t>
            </w:r>
          </w:p>
        </w:tc>
      </w:tr>
      <w:tr>
        <w:tc>
          <w:tcPr>
            <w:tcW w:type="dxa" w:w="220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CTV (closterovirus)</w:t>
            </w:r>
          </w:p>
        </w:tc>
        <w:tc>
          <w:tcPr>
            <w:tcW w:type="dxa" w:w="280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p27 + p61 + p65</w:t>
            </w:r>
          </w:p>
        </w:tc>
        <w:tc>
          <w:tcPr>
            <w:tcW w:type="dxa" w:w="436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T36 p61/p65 alleles (this brief)</w:t>
            </w:r>
          </w:p>
        </w:tc>
      </w:tr>
      <w:tr>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LIYV (crinivirus)</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CPm</w:t>
            </w:r>
          </w:p>
        </w:tc>
        <w:tc>
          <w:tcPr>
            <w:tcW w:type="dxa" w:w="436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CPm frameshift: systemic, not whitefly-transmitted</w:t>
            </w:r>
          </w:p>
        </w:tc>
      </w:tr>
      <w:tr>
        <w:tc>
          <w:tcPr>
            <w:tcW w:type="dxa" w:w="220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CMV (cucumovirus)</w:t>
            </w:r>
          </w:p>
        </w:tc>
        <w:tc>
          <w:tcPr>
            <w:tcW w:type="dxa" w:w="280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Coat protein</w:t>
            </w:r>
          </w:p>
        </w:tc>
        <w:tc>
          <w:tcPr>
            <w:tcW w:type="dxa" w:w="4360"/>
            <w:tcBorders>
              <w:top w:val="single" w:color="C5D0D4" w:sz="4"/>
              <w:left w:val="single" w:color="C5D0D4" w:sz="4"/>
              <w:bottom w:val="single" w:color="C5D0D4" w:sz="4"/>
              <w:right w:val="single" w:color="C5D0D4" w:sz="4"/>
            </w:tcBorders>
            <w:shd w:fill="F4F7F8"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CP codon polymorphisms; species-specific (Perry et al. 1998)</w:t>
            </w:r>
          </w:p>
        </w:tc>
      </w:tr>
      <w:tr>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Potyvirus</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CP DAG + HC-Pro PTK/KITC</w:t>
            </w:r>
          </w:p>
        </w:tc>
        <w:tc>
          <w:tcPr>
            <w:tcW w:type="dxa" w:w="436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spacing w:after="0" w:before="0" w:line="240"/>
            </w:pPr>
            <w:r>
              <w:rPr>
                <w:rFonts w:ascii="Calibri" w:cs="Calibri" w:eastAsia="Calibri" w:hAnsi="Calibri"/>
                <w:b w:val="false"/>
                <w:bCs w:val="false"/>
                <w:i w:val="false"/>
                <w:iCs w:val="false"/>
                <w:color w:val="222222"/>
                <w:sz w:val="18"/>
                <w:szCs w:val="18"/>
              </w:rPr>
              <w:t xml:space="preserve">DAG or HC-Pro motif changes block aphids, virions still form</w:t>
            </w:r>
          </w:p>
        </w:tc>
      </w:tr>
    </w:tbl>
    <w:p>
      <w:pPr>
        <w:spacing w:after="160"/>
      </w:pPr>
    </w:p>
    <w:p>
      <w:pPr>
        <w:pStyle w:val="Heading1"/>
        <w:pBdr>
          <w:bottom w:val="single" w:color="2C5F6E" w:sz="12" w:space="4"/>
        </w:pBdr>
        <w:spacing w:after="120" w:before="280"/>
      </w:pPr>
      <w:r>
        <w:rPr>
          <w:rFonts w:ascii="Calibri" w:cs="Calibri" w:eastAsia="Calibri" w:hAnsi="Calibri"/>
          <w:b/>
          <w:bCs/>
          <w:color w:val="1B3A4B"/>
          <w:sz w:val="28"/>
          <w:szCs w:val="28"/>
        </w:rPr>
        <w:t xml:space="preserve">7. Caveats</w:t>
      </w:r>
    </w:p>
    <w:p>
      <w:pPr>
        <w:pStyle w:val="ListParagraph"/>
        <w:numPr>
          <w:ilvl w:val="0"/>
          <w:numId w:val="2"/>
        </w:numPr>
        <w:spacing w:after="60" w:line="276"/>
      </w:pPr>
      <w:r>
        <w:rPr>
          <w:rFonts w:ascii="Calibri" w:cs="Calibri" w:eastAsia="Calibri" w:hAnsi="Calibri"/>
          <w:sz w:val="22"/>
          <w:szCs w:val="22"/>
        </w:rPr>
        <w:t xml:space="preserve">p33 also contributes to efficient T. citricida transmission when moved from T68 into T36 (Shilts et al. 2020). Trial 1 ignores p33 because Harper et al. already recovered nearly wild-type transmission with p61+p65 alone. If residual transmission remains, add a T36 p33 allele as trial 1b.</w:t>
      </w:r>
    </w:p>
    <w:p>
      <w:pPr>
        <w:pStyle w:val="ListParagraph"/>
        <w:numPr>
          <w:ilvl w:val="0"/>
          <w:numId w:val="2"/>
        </w:numPr>
        <w:spacing w:after="60" w:line="276"/>
      </w:pPr>
      <w:r>
        <w:rPr>
          <w:rFonts w:ascii="Calibri" w:cs="Calibri" w:eastAsia="Calibri" w:hAnsi="Calibri"/>
          <w:sz w:val="22"/>
          <w:szCs w:val="22"/>
        </w:rPr>
        <w:t xml:space="preserve">Mixed infections complement transmission (Harper et al. 2018). A knockout clone in a field tree already carrying a transmissible strain may still move.</w:t>
      </w:r>
    </w:p>
    <w:p>
      <w:pPr>
        <w:pStyle w:val="ListParagraph"/>
        <w:numPr>
          <w:ilvl w:val="0"/>
          <w:numId w:val="2"/>
        </w:numPr>
        <w:spacing w:after="60" w:line="276"/>
      </w:pPr>
      <w:r>
        <w:rPr>
          <w:rFonts w:ascii="Calibri" w:cs="Calibri" w:eastAsia="Calibri" w:hAnsi="Calibri"/>
          <w:sz w:val="22"/>
          <w:szCs w:val="22"/>
        </w:rPr>
        <w:t xml:space="preserve">T36 is already the existence proof. The scientific question is whether the same alleles silence a different transmissible backbone, and which of the 11 residues are necessary.</w:t>
      </w:r>
    </w:p>
    <w:p>
      <w:pPr>
        <w:pStyle w:val="ListParagraph"/>
        <w:numPr>
          <w:ilvl w:val="0"/>
          <w:numId w:val="2"/>
        </w:numPr>
        <w:spacing w:after="160" w:line="276"/>
      </w:pPr>
      <w:r>
        <w:rPr>
          <w:rFonts w:ascii="Calibri" w:cs="Calibri" w:eastAsia="Calibri" w:hAnsi="Calibri"/>
          <w:sz w:val="22"/>
          <w:szCs w:val="22"/>
        </w:rPr>
        <w:t xml:space="preserve">This document does not recommend environmental release of a modified plant virus.</w:t>
      </w:r>
    </w:p>
    <w:p>
      <w:pPr>
        <w:pStyle w:val="Heading1"/>
        <w:pBdr>
          <w:bottom w:val="single" w:color="2C5F6E" w:sz="12" w:space="4"/>
        </w:pBdr>
        <w:spacing w:after="120" w:before="280"/>
      </w:pPr>
      <w:r>
        <w:rPr>
          <w:rFonts w:ascii="Calibri" w:cs="Calibri" w:eastAsia="Calibri" w:hAnsi="Calibri"/>
          <w:b/>
          <w:bCs/>
          <w:color w:val="1B3A4B"/>
          <w:sz w:val="28"/>
          <w:szCs w:val="28"/>
        </w:rPr>
        <w:t xml:space="preserve">8. Decision</w:t>
      </w:r>
    </w:p>
    <w:p>
      <w:pPr>
        <w:spacing w:after="160" w:before="0" w:line="276"/>
      </w:pPr>
      <w:r>
        <w:rPr>
          <w:rFonts w:ascii="Calibri" w:cs="Calibri" w:eastAsia="Calibri" w:hAnsi="Calibri"/>
          <w:b/>
          <w:bCs/>
          <w:color w:val="222222"/>
          <w:sz w:val="22"/>
          <w:szCs w:val="22"/>
        </w:rPr>
        <w:t xml:space="preserve">First shared experiment: </w:t>
      </w:r>
      <w:r>
        <w:rPr>
          <w:rFonts w:ascii="Calibri" w:cs="Calibri" w:eastAsia="Calibri" w:hAnsi="Calibri"/>
          <w:color w:val="222222"/>
          <w:sz w:val="22"/>
          <w:szCs w:val="22"/>
        </w:rPr>
        <w:t xml:space="preserve">T36-clone p61 (nine substitutions) plus p65 (two substitutions) in a transmissible CTV backbone; confirm systemic titer; measure T. citricida transmission as single infection. Do not mutate p27 or p25 until that result is in hand.</w:t>
      </w:r>
    </w:p>
    <w:p>
      <w:pPr>
        <w:pStyle w:val="Heading1"/>
        <w:pBdr>
          <w:bottom w:val="single" w:color="2C5F6E" w:sz="12" w:space="4"/>
        </w:pBdr>
        <w:spacing w:after="120" w:before="280"/>
      </w:pPr>
      <w:r>
        <w:rPr>
          <w:rFonts w:ascii="Calibri" w:cs="Calibri" w:eastAsia="Calibri" w:hAnsi="Calibri"/>
          <w:b/>
          <w:bCs/>
          <w:color w:val="1B3A4B"/>
          <w:sz w:val="28"/>
          <w:szCs w:val="28"/>
        </w:rPr>
        <w:t xml:space="preserve">References</w:t>
      </w:r>
    </w:p>
    <w:p>
      <w:pPr>
        <w:spacing w:after="80" w:before="0" w:line="240"/>
        <w:ind w:left="360" w:hanging="360"/>
      </w:pPr>
      <w:r>
        <w:rPr>
          <w:rFonts w:ascii="Calibri" w:cs="Calibri" w:eastAsia="Calibri" w:hAnsi="Calibri"/>
          <w:color w:val="333333"/>
          <w:sz w:val="20"/>
          <w:szCs w:val="20"/>
        </w:rPr>
        <w:t xml:space="preserve">1.  Harper SJ, Killiny N, Tatineni S, Gowda S, Cowell SJ, Shilts T, Dawson WO. 2016. Sequence variation in two genes determines the efficacy of transmission of citrus tristeza virus by the brown citrus aphid. Arch Virol 161:3555–3559. doi:10.1007/s00705-016-3070-x</w:t>
      </w:r>
    </w:p>
    <w:p>
      <w:pPr>
        <w:spacing w:after="80" w:before="0" w:line="240"/>
        <w:ind w:left="360" w:hanging="360"/>
      </w:pPr>
      <w:r>
        <w:rPr>
          <w:rFonts w:ascii="Calibri" w:cs="Calibri" w:eastAsia="Calibri" w:hAnsi="Calibri"/>
          <w:color w:val="333333"/>
          <w:sz w:val="20"/>
          <w:szCs w:val="20"/>
        </w:rPr>
        <w:t xml:space="preserve">2.  Killiny N, Harper SJ, Alfaress S, El-Mohtar C, Dawson WO. 2016. Minor coat and heat-shock proteins are involved in binding of citrus tristeza virus to the foregut of its aphid vector, Toxoptera citricida. Appl Environ Microbiol 82:6294–6302. doi:10.1128/AEM.01914-16</w:t>
      </w:r>
    </w:p>
    <w:p>
      <w:pPr>
        <w:spacing w:after="80" w:before="0" w:line="240"/>
        <w:ind w:left="360" w:hanging="360"/>
      </w:pPr>
      <w:r>
        <w:rPr>
          <w:rFonts w:ascii="Calibri" w:cs="Calibri" w:eastAsia="Calibri" w:hAnsi="Calibri"/>
          <w:color w:val="333333"/>
          <w:sz w:val="20"/>
          <w:szCs w:val="20"/>
        </w:rPr>
        <w:t xml:space="preserve">3.  Satyanarayana T, Gowda S, Ayllón MA, Dawson WO. 2004. Closterovirus bipolar virion: evidence for initiation of assembly by minor coat protein and its restriction to the genomic RNA 5′ region. Proc Natl Acad Sci USA 101:799–804. doi:10.1073/pnas.0307747100</w:t>
      </w:r>
    </w:p>
    <w:p>
      <w:pPr>
        <w:spacing w:after="80" w:before="0" w:line="240"/>
        <w:ind w:left="360" w:hanging="360"/>
      </w:pPr>
      <w:r>
        <w:rPr>
          <w:rFonts w:ascii="Calibri" w:cs="Calibri" w:eastAsia="Calibri" w:hAnsi="Calibri"/>
          <w:color w:val="333333"/>
          <w:sz w:val="20"/>
          <w:szCs w:val="20"/>
        </w:rPr>
        <w:t xml:space="preserve">4.  Satyanarayana T, Gowda S, Boyko VP, et al. 1999. An engineered closterovirus RNA replicon and analysis of heterologous terminal sequences for replication. Proc Natl Acad Sci USA 96:7433–7438. (T36 clone 947R; GenBank AY170468)</w:t>
      </w:r>
    </w:p>
    <w:p>
      <w:pPr>
        <w:spacing w:after="80" w:before="0" w:line="240"/>
        <w:ind w:left="360" w:hanging="360"/>
      </w:pPr>
      <w:r>
        <w:rPr>
          <w:rFonts w:ascii="Calibri" w:cs="Calibri" w:eastAsia="Calibri" w:hAnsi="Calibri"/>
          <w:color w:val="333333"/>
          <w:sz w:val="20"/>
          <w:szCs w:val="20"/>
        </w:rPr>
        <w:t xml:space="preserve">5.  Harper SJ. 2013. Citrus tristeza virus: evolution of complex and varied genotypic groups. Front Microbiol 4:93. doi:10.3389/fmicb.2013.00093</w:t>
      </w:r>
    </w:p>
    <w:p>
      <w:pPr>
        <w:spacing w:after="80" w:before="0" w:line="240"/>
        <w:ind w:left="360" w:hanging="360"/>
      </w:pPr>
      <w:r>
        <w:rPr>
          <w:rFonts w:ascii="Calibri" w:cs="Calibri" w:eastAsia="Calibri" w:hAnsi="Calibri"/>
          <w:color w:val="333333"/>
          <w:sz w:val="20"/>
          <w:szCs w:val="20"/>
        </w:rPr>
        <w:t xml:space="preserve">6.  Harper SJ, Cowell SJ, Dawson WO. 2018. Bottlenecks and complementation in the aphid transmission of citrus tristeza virus populations. Arch Virol 163:3373–3376. doi:10.1007/s00705-018-4009-1</w:t>
      </w:r>
    </w:p>
    <w:p>
      <w:pPr>
        <w:spacing w:after="80" w:before="0" w:line="240"/>
        <w:ind w:left="360" w:hanging="360"/>
      </w:pPr>
      <w:r>
        <w:rPr>
          <w:rFonts w:ascii="Calibri" w:cs="Calibri" w:eastAsia="Calibri" w:hAnsi="Calibri"/>
          <w:color w:val="333333"/>
          <w:sz w:val="20"/>
          <w:szCs w:val="20"/>
        </w:rPr>
        <w:t xml:space="preserve">7.  Shilts T, El-Mohtar C, Dawson WO, Killiny N. 2020. Citrus tristeza virus P33 protein is required for efficient transmission by the aphid Aphis (Toxoptera) citricidus. Viruses 12:1131. doi:10.3390/v12101131</w:t>
      </w:r>
    </w:p>
    <w:p>
      <w:pPr>
        <w:spacing w:after="80" w:before="0" w:line="240"/>
        <w:ind w:left="360" w:hanging="360"/>
      </w:pPr>
      <w:r>
        <w:rPr>
          <w:rFonts w:ascii="Calibri" w:cs="Calibri" w:eastAsia="Calibri" w:hAnsi="Calibri"/>
          <w:color w:val="333333"/>
          <w:sz w:val="20"/>
          <w:szCs w:val="20"/>
        </w:rPr>
        <w:t xml:space="preserve">8.  Stewart LR, Medina V, Tian T, Turina M, Falk BW, Ng JC. 2010. A mutation in the lettuce infectious yellows virus minor coat protein disrupts whitefly transmission but not in planta systemic movement. J Virol 84:12165–12173. doi:10.1128/JVI.01192-10</w:t>
      </w:r>
    </w:p>
    <w:p>
      <w:pPr>
        <w:spacing w:after="80" w:before="0" w:line="240"/>
        <w:ind w:left="360" w:hanging="360"/>
      </w:pPr>
      <w:r>
        <w:rPr>
          <w:rFonts w:ascii="Calibri" w:cs="Calibri" w:eastAsia="Calibri" w:hAnsi="Calibri"/>
          <w:color w:val="333333"/>
          <w:sz w:val="20"/>
          <w:szCs w:val="20"/>
        </w:rPr>
        <w:t xml:space="preserve">9.  Ng JCK, Falk BW. 2006. Bemisia tabaci transmission of specific lettuce infectious yellows virus genotypes derived from in vitro synthesized transcript-inoculated protoplasts. Virology 352:209–215. (p1-5b CPm frameshift; non-transmissible VLPs)</w:t>
      </w:r>
    </w:p>
    <w:p>
      <w:pPr>
        <w:spacing w:after="80" w:before="0" w:line="240"/>
        <w:ind w:left="360" w:hanging="360"/>
      </w:pPr>
      <w:r>
        <w:rPr>
          <w:rFonts w:ascii="Calibri" w:cs="Calibri" w:eastAsia="Calibri" w:hAnsi="Calibri"/>
          <w:color w:val="333333"/>
          <w:sz w:val="20"/>
          <w:szCs w:val="20"/>
        </w:rPr>
        <w:t xml:space="preserve">10.  Perry KL, Zhang L, Palukaitis P. 1998. Amino acid changes in the coat protein of cucumber mosaic virus differentially affect transmission by the aphids Myzus persicae and Aphis gossypii. Virology 242:204–210.</w:t>
      </w:r>
    </w:p>
    <w:p>
      <w:pPr>
        <w:spacing w:after="80" w:before="0" w:line="240"/>
        <w:ind w:left="360" w:hanging="360"/>
      </w:pPr>
      <w:r>
        <w:rPr>
          <w:rFonts w:ascii="Calibri" w:cs="Calibri" w:eastAsia="Calibri" w:hAnsi="Calibri"/>
          <w:color w:val="333333"/>
          <w:sz w:val="20"/>
          <w:szCs w:val="20"/>
        </w:rPr>
        <w:t xml:space="preserve">11.  Blanc S, López-Moya JJ, Wang R, García-Lampasona S, Thornbury DW, Pirone TP. 1997. A specific interaction between coat protein and helper component correlates with aphid transmission of a potyvirus. Virology 231:141–147.</w:t>
      </w:r>
    </w:p>
    <w:p>
      <w:pPr>
        <w:spacing w:after="80" w:before="0" w:line="240"/>
        <w:ind w:left="360" w:hanging="360"/>
      </w:pPr>
      <w:r>
        <w:rPr>
          <w:rFonts w:ascii="Calibri" w:cs="Calibri" w:eastAsia="Calibri" w:hAnsi="Calibri"/>
          <w:color w:val="333333"/>
          <w:sz w:val="20"/>
          <w:szCs w:val="20"/>
        </w:rPr>
        <w:t xml:space="preserve">12.  Wu GW, et al. 2015. Genetic diversity and evolution of two capsid protein genes of citrus tristeza virus isolates from China. Arch Virol 160:787–794. (selection at CPm codon 9)</w:t>
      </w:r>
    </w:p>
    <w:p>
      <w:pPr>
        <w:spacing w:after="80" w:before="0" w:line="240"/>
        <w:ind w:left="360" w:hanging="360"/>
      </w:pPr>
      <w:r>
        <w:rPr>
          <w:rFonts w:ascii="Calibri" w:cs="Calibri" w:eastAsia="Calibri" w:hAnsi="Calibri"/>
          <w:color w:val="333333"/>
          <w:sz w:val="20"/>
          <w:szCs w:val="20"/>
        </w:rPr>
        <w:t xml:space="preserve">13.  FS577 complete genome: GenBank KC517488. T36 infectious clone: GenBank AY170468. T36 type isolate genome: GenBank U16304.</w:t>
      </w:r>
    </w:p>
    <w:p>
      <w:pPr>
        <w:spacing w:after="40" w:before="200"/>
      </w:pPr>
      <w:r>
        <w:rPr>
          <w:rFonts w:ascii="Calibri" w:cs="Calibri" w:eastAsia="Calibri" w:hAnsi="Calibri"/>
          <w:b/>
          <w:bCs/>
          <w:color w:val="2C5F6E"/>
          <w:sz w:val="20"/>
          <w:szCs w:val="20"/>
        </w:rPr>
        <w:t xml:space="preserve">Sequence source for the substitution table</w:t>
      </w:r>
    </w:p>
    <w:p>
      <w:pPr>
        <w:spacing w:after="160" w:before="0" w:line="276"/>
      </w:pPr>
      <w:r>
        <w:rPr>
          <w:rFonts w:ascii="Calibri" w:cs="Calibri" w:eastAsia="Calibri" w:hAnsi="Calibri"/>
          <w:color w:val="5A6570"/>
          <w:sz w:val="20"/>
          <w:szCs w:val="20"/>
        </w:rPr>
        <w:t xml:space="preserve">p61, p65, p27 and p25 translations were pulled from the NCBI CDS annotations of KC517488 and AY170468 and aligned residue-by-residue (equal length; no gaps). That alignment — not the slightly different counts printed in Harper et al. 2016 — is the list to use for mutagenesis.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4" w:sz="8" w:space="6"/>
      </w:pBdr>
      <w:spacing w:before="80"/>
    </w:pPr>
    <w:r>
      <w:rPr>
        <w:rFonts w:ascii="Calibri" w:cs="Calibri" w:eastAsia="Calibri" w:hAnsi="Calibri"/>
        <w:color w:val="5A6570"/>
        <w:sz w:val="16"/>
        <w:szCs w:val="16"/>
      </w:rPr>
      <w:t xml:space="preserve">Not for release as a constructed pathogen. Literature synthesis only.  ·  Page </w:t>
    </w:r>
    <w:r>
      <w:rPr>
        <w:rFonts w:ascii="Calibri" w:cs="Calibri" w:eastAsia="Calibri" w:hAnsi="Calibri"/>
        <w:color w:val="5A6570"/>
        <w:sz w:val="16"/>
        <w:szCs w:val="16"/>
      </w:rPr>
      <w:fldChar w:fldCharType="begin"/>
      <w:instrText xml:space="preserve">PAGE</w:instrText>
      <w:fldChar w:fldCharType="separate"/>
      <w:fldChar w:fldCharType="end"/>
    </w:r>
    <w:r>
      <w:rPr>
        <w:rFonts w:ascii="Calibri" w:cs="Calibri" w:eastAsia="Calibri" w:hAnsi="Calibri"/>
        <w:color w:val="5A6570"/>
        <w:sz w:val="16"/>
        <w:szCs w:val="16"/>
      </w:rPr>
      <w:t xml:space="preserve"> of </w:t>
    </w:r>
    <w:r>
      <w:rPr>
        <w:rFonts w:ascii="Calibri" w:cs="Calibri" w:eastAsia="Calibri" w:hAnsi="Calibri"/>
        <w:color w:val="5A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12" w:space="6"/>
      </w:pBdr>
      <w:spacing w:after="120"/>
    </w:pPr>
    <w:r>
      <w:rPr>
        <w:rFonts w:ascii="Calibri" w:cs="Calibri" w:eastAsia="Calibri" w:hAnsi="Calibri"/>
        <w:color w:val="5A6570"/>
        <w:sz w:val="16"/>
        <w:szCs w:val="16"/>
      </w:rPr>
      <w:t xml:space="preserve">Technical brief  ·  Plant virus vector incompatibility</w:t>
    </w:r>
    <w:r>
      <w:rPr>
        <w:rFonts w:ascii="Calibri" w:cs="Calibri" w:eastAsia="Calibri" w:hAnsi="Calibri"/>
        <w:sz w:val="16"/>
        <w:szCs w:val="16"/>
      </w:rPr>
      <w:t xml:space="preserve">                                                                 </w:t>
    </w:r>
    <w:r>
      <w:rPr>
        <w:rFonts w:ascii="Calibri" w:cs="Calibri" w:eastAsia="Calibri" w:hAnsi="Calibri"/>
        <w:i/>
        <w:iCs/>
        <w:color w:val="2C5F6E"/>
        <w:sz w:val="16"/>
        <w:szCs w:val="16"/>
      </w:rPr>
      <w:t xml:space="preserve">CTV first trial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B3A4B"/>
      <w:sz w:val="28"/>
      <w:szCs w:val="28"/>
    </w:rPr>
  </w:style>
  <w:style w:type="paragraph" w:styleId="Heading2">
    <w:name w:val="Heading 2"/>
    <w:basedOn w:val="Normal"/>
    <w:next w:val="Normal"/>
    <w:qFormat/>
    <w:pPr>
      <w:spacing w:after="80" w:before="220"/>
      <w:outlineLvl w:val="1"/>
    </w:pPr>
    <w:rPr>
      <w:rFonts w:ascii="Calibri" w:cs="Calibri" w:eastAsia="Calibri" w:hAnsi="Calibri"/>
      <w:b/>
      <w:bCs/>
      <w:color w:val="2C5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2026-09-05T14:49:13.776Z</dcterms:created>
  <dcterms:modified xsi:type="dcterms:W3CDTF">2026-09-05T14:49:13.776Z</dcterms:modified>
</cp:coreProperties>
</file>

<file path=docProps/custom.xml><?xml version="1.0" encoding="utf-8"?>
<Properties xmlns="http://schemas.openxmlformats.org/officeDocument/2006/custom-properties" xmlns:vt="http://schemas.openxmlformats.org/officeDocument/2006/docPropsVTypes"/>
</file>