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0BEC" w14:textId="6E2DDAD1" w:rsidR="008B197E" w:rsidRDefault="00614F23">
      <w:pPr>
        <w:pStyle w:val="Paper-Title"/>
        <w:spacing w:after="60"/>
      </w:pPr>
      <w:r>
        <w:t xml:space="preserve">Assessment </w:t>
      </w:r>
      <w:r w:rsidR="00460B48">
        <w:t xml:space="preserve">of Introducing Algorithms with Video Lectures and </w:t>
      </w:r>
      <w:proofErr w:type="spellStart"/>
      <w:r w:rsidR="00460B48">
        <w:t>Pseudocode</w:t>
      </w:r>
      <w:proofErr w:type="spellEnd"/>
      <w:r w:rsidR="00460B48">
        <w:t xml:space="preserve"> Rhymed to a Melody</w:t>
      </w:r>
    </w:p>
    <w:p w14:paraId="178F25CB"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724849A" w14:textId="2EFFDC3E" w:rsidR="00E873A2" w:rsidRDefault="008B197E" w:rsidP="00E873A2">
      <w:pPr>
        <w:pStyle w:val="Author"/>
        <w:spacing w:after="0"/>
        <w:rPr>
          <w:spacing w:val="-2"/>
        </w:rPr>
      </w:pPr>
      <w:r>
        <w:rPr>
          <w:spacing w:val="-2"/>
        </w:rPr>
        <w:lastRenderedPageBreak/>
        <w:br w:type="column"/>
      </w:r>
    </w:p>
    <w:p w14:paraId="28B0F743" w14:textId="280A9CC8" w:rsidR="00E873A2" w:rsidRPr="00E873A2" w:rsidRDefault="00E873A2" w:rsidP="00E873A2">
      <w:pPr>
        <w:pStyle w:val="Author"/>
        <w:spacing w:after="0"/>
        <w:rPr>
          <w:i/>
          <w:spacing w:val="-2"/>
        </w:rPr>
      </w:pPr>
      <w:r w:rsidRPr="00E873A2">
        <w:rPr>
          <w:i/>
          <w:spacing w:val="-2"/>
        </w:rPr>
        <w:t>Anonymous</w:t>
      </w:r>
    </w:p>
    <w:p w14:paraId="7E35417C" w14:textId="77777777" w:rsidR="00E873A2" w:rsidRDefault="00E873A2" w:rsidP="000314E7">
      <w:pPr>
        <w:pStyle w:val="Author"/>
        <w:spacing w:after="0"/>
        <w:jc w:val="both"/>
        <w:rPr>
          <w:spacing w:val="-2"/>
        </w:rPr>
      </w:pPr>
    </w:p>
    <w:p w14:paraId="5C1E4102" w14:textId="77777777" w:rsidR="00E873A2" w:rsidRDefault="00E873A2" w:rsidP="00E873A2">
      <w:pPr>
        <w:pStyle w:val="Author"/>
        <w:spacing w:after="0"/>
        <w:rPr>
          <w:spacing w:val="-2"/>
        </w:rPr>
      </w:pPr>
    </w:p>
    <w:p w14:paraId="0FB0D973" w14:textId="77777777" w:rsidR="00E873A2" w:rsidRDefault="00E873A2" w:rsidP="00E873A2">
      <w:pPr>
        <w:pStyle w:val="Author"/>
        <w:spacing w:after="0"/>
        <w:rPr>
          <w:spacing w:val="-2"/>
        </w:rPr>
      </w:pPr>
    </w:p>
    <w:p w14:paraId="0E92BD96" w14:textId="77777777" w:rsidR="00E873A2" w:rsidRDefault="00E873A2" w:rsidP="00E873A2">
      <w:pPr>
        <w:pStyle w:val="Author"/>
        <w:spacing w:after="0"/>
        <w:rPr>
          <w:spacing w:val="-2"/>
        </w:rPr>
      </w:pPr>
    </w:p>
    <w:p w14:paraId="58B157F6" w14:textId="6B05C35C" w:rsidR="008B197E" w:rsidRDefault="008B197E" w:rsidP="00E873A2">
      <w:pPr>
        <w:pStyle w:val="Author"/>
        <w:spacing w:after="0"/>
        <w:rPr>
          <w:spacing w:val="-2"/>
        </w:rPr>
      </w:pPr>
      <w:r>
        <w:rPr>
          <w:spacing w:val="-2"/>
        </w:rPr>
        <w:br w:type="column"/>
      </w:r>
    </w:p>
    <w:p w14:paraId="268854C1" w14:textId="77777777" w:rsidR="008B197E" w:rsidRDefault="008B197E">
      <w:pPr>
        <w:pStyle w:val="E-Mail"/>
        <w:rPr>
          <w:spacing w:val="-2"/>
        </w:rPr>
      </w:pPr>
    </w:p>
    <w:p w14:paraId="57284887" w14:textId="77777777" w:rsidR="008B197E" w:rsidRDefault="008B197E">
      <w:pPr>
        <w:pStyle w:val="E-Mail"/>
      </w:pPr>
    </w:p>
    <w:p w14:paraId="3F7349C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E1E588" w14:textId="77777777" w:rsidR="008B197E" w:rsidRDefault="008B197E">
      <w:pPr>
        <w:spacing w:after="0"/>
      </w:pPr>
      <w:r>
        <w:rPr>
          <w:b/>
          <w:sz w:val="24"/>
        </w:rPr>
        <w:lastRenderedPageBreak/>
        <w:t>ABSTRACT</w:t>
      </w:r>
    </w:p>
    <w:p w14:paraId="292F5984" w14:textId="04473521" w:rsidR="008B197E" w:rsidRDefault="00E873A2">
      <w:pPr>
        <w:pStyle w:val="Abstract"/>
      </w:pPr>
      <w:r w:rsidRPr="00E873A2">
        <w:t xml:space="preserve">We envision using video to introduce various topics in computing to students outside of the classroom.  In this paper, we discuss two video series, each with a sequence of three videos.  The first series presents binary search, and the second series covers selection sort.  Each series begins with an overview of the algorithm with </w:t>
      </w:r>
      <w:r w:rsidR="00657030" w:rsidRPr="00E873A2">
        <w:t>step-by-step</w:t>
      </w:r>
      <w:r w:rsidRPr="00E873A2">
        <w:t xml:space="preserve"> examples, proceeds to a video about the associated complexity analysis, and concludes with a video of a song with algorithm </w:t>
      </w:r>
      <w:r w:rsidR="008D72E4" w:rsidRPr="00E873A2">
        <w:t>pseudo code</w:t>
      </w:r>
      <w:r w:rsidRPr="00E873A2">
        <w:t xml:space="preserve"> as lyrics and uses the lyrics as the skeleton of the actual code.  These video series were piloted among a set of introductory courses at two colleges. We assess the effectiveness of each series in terms of conceptual understanding and changes in student attitudes.</w:t>
      </w:r>
      <w:r w:rsidR="008B197E">
        <w:t xml:space="preserve">  </w:t>
      </w:r>
    </w:p>
    <w:p w14:paraId="6DFFAA01" w14:textId="77777777" w:rsidR="00DD7F4C" w:rsidRPr="00DD7F4C" w:rsidRDefault="00DD7F4C" w:rsidP="00DD7F4C">
      <w:pPr>
        <w:spacing w:after="0"/>
        <w:jc w:val="left"/>
        <w:rPr>
          <w:rFonts w:ascii="Times" w:hAnsi="Times"/>
          <w:b/>
          <w:sz w:val="24"/>
          <w:szCs w:val="24"/>
        </w:rPr>
      </w:pPr>
      <w:r w:rsidRPr="00DD7F4C">
        <w:rPr>
          <w:rFonts w:ascii="Times" w:hAnsi="Times"/>
          <w:b/>
          <w:sz w:val="24"/>
          <w:szCs w:val="24"/>
        </w:rPr>
        <w:t xml:space="preserve">Categories and Subject Descriptors </w:t>
      </w:r>
    </w:p>
    <w:p w14:paraId="4B0A8791" w14:textId="0429CA86" w:rsidR="00DD7F4C" w:rsidRPr="00DD7F4C" w:rsidRDefault="00DD7F4C" w:rsidP="00DD7F4C">
      <w:pPr>
        <w:spacing w:after="0"/>
        <w:jc w:val="left"/>
        <w:rPr>
          <w:rFonts w:ascii="Times" w:hAnsi="Times"/>
          <w:sz w:val="20"/>
        </w:rPr>
      </w:pPr>
      <w:r w:rsidRPr="00DD7F4C">
        <w:rPr>
          <w:rFonts w:ascii="Times" w:hAnsi="Times"/>
          <w:sz w:val="20"/>
        </w:rPr>
        <w:t>K.3.m [</w:t>
      </w:r>
      <w:r w:rsidRPr="00DD7F4C">
        <w:rPr>
          <w:rFonts w:ascii="Times" w:hAnsi="Times"/>
          <w:b/>
          <w:sz w:val="20"/>
        </w:rPr>
        <w:t>Computers and Education</w:t>
      </w:r>
      <w:r w:rsidRPr="00DD7F4C">
        <w:rPr>
          <w:rFonts w:ascii="Times" w:hAnsi="Times"/>
          <w:sz w:val="20"/>
        </w:rPr>
        <w:t>]: Miscellaneous</w:t>
      </w:r>
    </w:p>
    <w:p w14:paraId="6AE6B508" w14:textId="77777777" w:rsidR="008B197E" w:rsidRDefault="008B197E">
      <w:pPr>
        <w:spacing w:before="120" w:after="0"/>
      </w:pPr>
      <w:r>
        <w:rPr>
          <w:b/>
          <w:sz w:val="24"/>
        </w:rPr>
        <w:t>Keywords</w:t>
      </w:r>
    </w:p>
    <w:p w14:paraId="2FBBD876" w14:textId="4581165B" w:rsidR="008B197E" w:rsidRDefault="00357A63">
      <w:pPr>
        <w:spacing w:after="120"/>
      </w:pPr>
      <w:r>
        <w:t>Flipped classroom</w:t>
      </w:r>
      <w:r w:rsidR="00B365A2">
        <w:t>, videos, music, song, tools for novices.</w:t>
      </w:r>
    </w:p>
    <w:p w14:paraId="546BF7B7" w14:textId="77777777" w:rsidR="008B197E" w:rsidRDefault="008B197E">
      <w:pPr>
        <w:pStyle w:val="Heading1"/>
        <w:spacing w:before="120"/>
      </w:pPr>
      <w:r>
        <w:t>INTRODUCTION</w:t>
      </w:r>
    </w:p>
    <w:p w14:paraId="0D1777A5" w14:textId="7B00EC56" w:rsidR="00B365A2" w:rsidRPr="00B365A2" w:rsidRDefault="00B365A2" w:rsidP="00B365A2">
      <w:pPr>
        <w:pStyle w:val="BodyTextIndent"/>
      </w:pPr>
      <w:r w:rsidRPr="00B365A2">
        <w:t xml:space="preserve">Music has been used as a way to help people to remember ideas deemed important enough to compose a song about. From the Iliad and the Odyssey [Mitchell], to the Alan </w:t>
      </w:r>
      <w:proofErr w:type="spellStart"/>
      <w:r w:rsidRPr="00B365A2">
        <w:t>Alda’s</w:t>
      </w:r>
      <w:proofErr w:type="spellEnd"/>
      <w:r w:rsidRPr="00B365A2">
        <w:t xml:space="preserve"> recent Flame Challenge to explain science to pre-teens</w:t>
      </w:r>
      <w:r w:rsidR="00AB3AE9">
        <w:t xml:space="preserve"> [Ames]</w:t>
      </w:r>
      <w:r w:rsidRPr="00B365A2">
        <w:t xml:space="preserve">, song has been exploited as a way to help people, and students in particular, to remember and increase understanding. </w:t>
      </w:r>
      <w:r w:rsidR="000E39B2">
        <w:t xml:space="preserve">Song has been demonstrated to support recall for a diverse population </w:t>
      </w:r>
      <w:r w:rsidR="00531B01">
        <w:t>such as young</w:t>
      </w:r>
      <w:r w:rsidR="005773E9">
        <w:t>, novice</w:t>
      </w:r>
      <w:r w:rsidR="000E39B2">
        <w:t xml:space="preserve"> students [</w:t>
      </w:r>
      <w:proofErr w:type="spellStart"/>
      <w:r w:rsidR="000E39B2">
        <w:t>Yeoh</w:t>
      </w:r>
      <w:proofErr w:type="spellEnd"/>
      <w:r w:rsidR="000E39B2">
        <w:t>]</w:t>
      </w:r>
      <w:r w:rsidR="00531B01">
        <w:t xml:space="preserve"> as well as students with disabilities </w:t>
      </w:r>
      <w:proofErr w:type="spellStart"/>
      <w:r w:rsidR="00531B01">
        <w:t>Claussen</w:t>
      </w:r>
      <w:proofErr w:type="spellEnd"/>
      <w:r w:rsidR="00531B01">
        <w:t>]</w:t>
      </w:r>
      <w:r w:rsidR="000E39B2">
        <w:t xml:space="preserve">. </w:t>
      </w:r>
      <w:r w:rsidRPr="00B365A2">
        <w:t>For example, in computer science education, music has been used extensively to understand complexity in</w:t>
      </w:r>
      <w:r w:rsidR="00D95465">
        <w:t xml:space="preserve"> </w:t>
      </w:r>
      <w:r w:rsidR="00D95465" w:rsidRPr="00B365A2">
        <w:t>courses</w:t>
      </w:r>
      <w:r w:rsidR="00D95465">
        <w:t xml:space="preserve"> ranging from introductory [</w:t>
      </w:r>
      <w:r w:rsidR="00D95465" w:rsidRPr="00D95465">
        <w:rPr>
          <w:b/>
          <w:color w:val="800000"/>
        </w:rPr>
        <w:t>Dougherty</w:t>
      </w:r>
      <w:r w:rsidR="00D95465">
        <w:t>] to</w:t>
      </w:r>
      <w:r w:rsidRPr="00B365A2">
        <w:t xml:space="preserve"> analysis of algorithms [Knuth, </w:t>
      </w:r>
      <w:proofErr w:type="spellStart"/>
      <w:r w:rsidRPr="00B365A2">
        <w:t>Chavey</w:t>
      </w:r>
      <w:proofErr w:type="spellEnd"/>
      <w:r w:rsidRPr="00B365A2">
        <w:t>]. For a more extensive overview about the use of songs in learning, especially with computing, see [</w:t>
      </w:r>
      <w:r w:rsidR="00CB5FCB" w:rsidRPr="00BF61A1">
        <w:rPr>
          <w:b/>
          <w:color w:val="800000"/>
        </w:rPr>
        <w:t>Schreiber</w:t>
      </w:r>
      <w:r w:rsidRPr="00B365A2">
        <w:t>].</w:t>
      </w:r>
    </w:p>
    <w:p w14:paraId="459ED372" w14:textId="77777777" w:rsidR="00963711" w:rsidRPr="001D0BA3" w:rsidRDefault="00963711" w:rsidP="00CD2515">
      <w:pPr>
        <w:pStyle w:val="BodyText"/>
        <w:framePr w:h="1977" w:hRule="exact" w:wrap="around" w:x="1165" w:y="12785"/>
        <w:rPr>
          <w:color w:val="FFFFFF" w:themeColor="background1"/>
        </w:rPr>
      </w:pPr>
      <w:r w:rsidRPr="001D0BA3">
        <w:rPr>
          <w:color w:val="FFFFFF" w:themeColor="background1"/>
        </w:rPr>
        <w:t>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9228D7C" w14:textId="3B821F11" w:rsidR="00963711" w:rsidRPr="001D0BA3" w:rsidRDefault="00963711" w:rsidP="00CD2515">
      <w:pPr>
        <w:framePr w:w="4680" w:h="1977" w:hRule="exact" w:hSpace="187" w:wrap="around" w:vAnchor="page" w:hAnchor="page" w:x="1165" w:y="12785" w:anchorLock="1"/>
        <w:spacing w:after="0"/>
        <w:rPr>
          <w:color w:val="FFFFFF" w:themeColor="background1"/>
          <w:sz w:val="16"/>
        </w:rPr>
      </w:pPr>
      <w:r w:rsidRPr="001D0BA3">
        <w:rPr>
          <w:i/>
          <w:iCs/>
          <w:color w:val="FFFFFF" w:themeColor="background1"/>
          <w:sz w:val="16"/>
        </w:rPr>
        <w:t>SIGCSE’17</w:t>
      </w:r>
      <w:r w:rsidRPr="001D0BA3">
        <w:rPr>
          <w:color w:val="FFFFFF" w:themeColor="background1"/>
          <w:sz w:val="16"/>
        </w:rPr>
        <w:t>, March 8–11, 2017, Seattle, WA, USA.</w:t>
      </w:r>
    </w:p>
    <w:p w14:paraId="3D9ABC6B" w14:textId="2041D962" w:rsidR="00963711" w:rsidRPr="001D0BA3" w:rsidRDefault="00963711" w:rsidP="00CD2515">
      <w:pPr>
        <w:framePr w:w="4680" w:h="1977" w:hRule="exact" w:hSpace="187" w:wrap="around" w:vAnchor="page" w:hAnchor="page" w:x="1165" w:y="12785" w:anchorLock="1"/>
        <w:spacing w:after="0"/>
        <w:rPr>
          <w:color w:val="FFFFFF" w:themeColor="background1"/>
          <w:sz w:val="16"/>
        </w:rPr>
      </w:pPr>
      <w:r w:rsidRPr="001D0BA3">
        <w:rPr>
          <w:color w:val="FFFFFF" w:themeColor="background1"/>
          <w:sz w:val="16"/>
        </w:rPr>
        <w:t>Copyright 2017 ACM 1-58113-000-0/00/0010 …$15.00.</w:t>
      </w:r>
    </w:p>
    <w:p w14:paraId="743B1DC6" w14:textId="77777777" w:rsidR="00963711" w:rsidRPr="001D0BA3" w:rsidRDefault="00963711" w:rsidP="00CD2515">
      <w:pPr>
        <w:framePr w:w="4680" w:h="1977" w:hRule="exact" w:hSpace="187" w:wrap="around" w:vAnchor="page" w:hAnchor="page" w:x="1165" w:y="12785" w:anchorLock="1"/>
        <w:rPr>
          <w:iCs/>
          <w:color w:val="FFFFFF" w:themeColor="background1"/>
        </w:rPr>
      </w:pPr>
      <w:r w:rsidRPr="001D0BA3">
        <w:rPr>
          <w:color w:val="FFFFFF" w:themeColor="background1"/>
        </w:rPr>
        <w:t xml:space="preserve">DOI: </w:t>
      </w:r>
      <w:r w:rsidRPr="001D0BA3">
        <w:rPr>
          <w:color w:val="FFFFFF" w:themeColor="background1"/>
          <w:sz w:val="22"/>
          <w:szCs w:val="22"/>
        </w:rPr>
        <w:t>http://dx.doi.org/10.1145/12345.67890</w:t>
      </w:r>
    </w:p>
    <w:p w14:paraId="681CAEB3" w14:textId="718E5AC1" w:rsidR="00B365A2" w:rsidRPr="00B365A2" w:rsidRDefault="001D0BA3" w:rsidP="00B365A2">
      <w:pPr>
        <w:pStyle w:val="BodyTextIndent"/>
      </w:pPr>
      <w:r>
        <w:rPr>
          <w:noProof/>
        </w:rPr>
        <mc:AlternateContent>
          <mc:Choice Requires="wps">
            <w:drawing>
              <wp:anchor distT="0" distB="0" distL="114300" distR="114300" simplePos="0" relativeHeight="251660288" behindDoc="0" locked="0" layoutInCell="1" allowOverlap="1" wp14:anchorId="36D35CA4" wp14:editId="1A5A153B">
                <wp:simplePos x="0" y="0"/>
                <wp:positionH relativeFrom="column">
                  <wp:posOffset>281305</wp:posOffset>
                </wp:positionH>
                <wp:positionV relativeFrom="paragraph">
                  <wp:posOffset>2546350</wp:posOffset>
                </wp:positionV>
                <wp:extent cx="5537835" cy="218440"/>
                <wp:effectExtent l="0" t="0" r="0" b="10160"/>
                <wp:wrapThrough wrapText="bothSides">
                  <wp:wrapPolygon edited="0">
                    <wp:start x="0" y="0"/>
                    <wp:lineTo x="0" y="20093"/>
                    <wp:lineTo x="21498" y="20093"/>
                    <wp:lineTo x="2149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537835" cy="218440"/>
                        </a:xfrm>
                        <a:prstGeom prst="rect">
                          <a:avLst/>
                        </a:prstGeom>
                        <a:solidFill>
                          <a:prstClr val="white"/>
                        </a:solidFill>
                        <a:ln>
                          <a:noFill/>
                        </a:ln>
                        <a:effectLst/>
                      </wps:spPr>
                      <wps:txbx>
                        <w:txbxContent>
                          <w:p w14:paraId="2281CC05" w14:textId="2499B843" w:rsidR="003C2D4E" w:rsidRPr="00F46B57" w:rsidRDefault="003C2D4E" w:rsidP="003C2D4E">
                            <w:pPr>
                              <w:pStyle w:val="Caption"/>
                              <w:rPr>
                                <w:rFonts w:cs="Times New Roman"/>
                                <w:szCs w:val="20"/>
                              </w:rPr>
                            </w:pPr>
                            <w:r>
                              <w:t xml:space="preserve">Figure </w:t>
                            </w:r>
                            <w:fldSimple w:instr=" SEQ Figure \* ARABIC ">
                              <w:r>
                                <w:rPr>
                                  <w:noProof/>
                                </w:rPr>
                                <w:t>1</w:t>
                              </w:r>
                            </w:fldSimple>
                            <w:r>
                              <w:t xml:space="preserve"> Binary Search Song Mapped to Equivalent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D35CA4" id="_x0000_t202" coordsize="21600,21600" o:spt="202" path="m0,0l0,21600,21600,21600,21600,0xe">
                <v:stroke joinstyle="miter"/>
                <v:path gradientshapeok="t" o:connecttype="rect"/>
              </v:shapetype>
              <v:shape id="Text_x0020_Box_x0020_2" o:spid="_x0000_s1026" type="#_x0000_t202" style="position:absolute;left:0;text-align:left;margin-left:22.15pt;margin-top:200.5pt;width:436.05pt;height:1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" stroked="f">
                <v:textbox inset="0,0,0,0">
                  <w:txbxContent>
                    <w:p w14:paraId="2281CC05" w14:textId="2499B843" w:rsidR="003C2D4E" w:rsidRPr="00F46B57" w:rsidRDefault="003C2D4E" w:rsidP="003C2D4E">
                      <w:pPr>
                        <w:pStyle w:val="Caption"/>
                        <w:rPr>
                          <w:rFonts w:cs="Times New Roman"/>
                          <w:szCs w:val="20"/>
                        </w:rPr>
                      </w:pPr>
                      <w:r>
                        <w:t xml:space="preserve">Figure </w:t>
                      </w:r>
                      <w:fldSimple w:instr=" SEQ Figure \* ARABIC ">
                        <w:r>
                          <w:rPr>
                            <w:noProof/>
                          </w:rPr>
                          <w:t>1</w:t>
                        </w:r>
                      </w:fldSimple>
                      <w:r>
                        <w:t xml:space="preserve"> Binary Search Song Mapped to Equivalent Python</w:t>
                      </w:r>
                    </w:p>
                  </w:txbxContent>
                </v:textbox>
                <w10:wrap type="through"/>
              </v:shape>
            </w:pict>
          </mc:Fallback>
        </mc:AlternateContent>
      </w:r>
      <w:r>
        <w:rPr>
          <w:noProof/>
        </w:rPr>
        <w:drawing>
          <wp:anchor distT="0" distB="0" distL="114300" distR="114300" simplePos="0" relativeHeight="251658240" behindDoc="0" locked="0" layoutInCell="1" allowOverlap="1" wp14:anchorId="796EB395" wp14:editId="1E8BE9F6">
            <wp:simplePos x="0" y="0"/>
            <wp:positionH relativeFrom="column">
              <wp:posOffset>282575</wp:posOffset>
            </wp:positionH>
            <wp:positionV relativeFrom="paragraph">
              <wp:posOffset>1402080</wp:posOffset>
            </wp:positionV>
            <wp:extent cx="5537835" cy="1092835"/>
            <wp:effectExtent l="25400" t="25400" r="24765" b="247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 search pseudocode sigcse17.png"/>
                    <pic:cNvPicPr/>
                  </pic:nvPicPr>
                  <pic:blipFill>
                    <a:blip r:embed="rId9">
                      <a:extLst>
                        <a:ext uri="{28A0092B-C50C-407E-A947-70E740481C1C}">
                          <a14:useLocalDpi xmlns:a14="http://schemas.microsoft.com/office/drawing/2010/main" val="0"/>
                        </a:ext>
                      </a:extLst>
                    </a:blip>
                    <a:stretch>
                      <a:fillRect/>
                    </a:stretch>
                  </pic:blipFill>
                  <pic:spPr>
                    <a:xfrm>
                      <a:off x="0" y="0"/>
                      <a:ext cx="5537835" cy="10928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365A2" w:rsidRPr="00B365A2">
        <w:t>We assume faculty members have full schedules.  Thus, any tool or approach that can be administered outside of class meetings and has the potential to increase learning is useful and desired</w:t>
      </w:r>
      <w:r w:rsidR="008D72E4">
        <w:t xml:space="preserve"> as described in work such as [Maher]</w:t>
      </w:r>
      <w:r w:rsidR="00B365A2" w:rsidRPr="00B365A2">
        <w:t xml:space="preserve">.  This project outlines such a set of readily available videos to provide a means for students to engage with two introductory algorithms; specifically, binary search and selection sort.  In each series of three videos, there is a song describing the algorithm presented with captioned lyrics </w:t>
      </w:r>
      <w:r w:rsidR="00B365A2" w:rsidRPr="00B365A2">
        <w:lastRenderedPageBreak/>
        <w:t>about the algorithm.  These lyrics are then “cut and pasted” directly into a program and used as comments for the associated lines of code they represent.  We expect this approach will be of great value to novice computing students where such a “musical scaffold” will be a balance of accessibility, utility, and a form o</w:t>
      </w:r>
      <w:r w:rsidR="00424941">
        <w:t>f entertainment to some degree.</w:t>
      </w:r>
    </w:p>
    <w:p w14:paraId="1998AAA2" w14:textId="2630F825" w:rsidR="00B365A2" w:rsidRPr="00B365A2" w:rsidRDefault="00B365A2" w:rsidP="00B365A2">
      <w:pPr>
        <w:pStyle w:val="BodyTextIndent"/>
      </w:pPr>
      <w:r w:rsidRPr="00B365A2">
        <w:t>We started to test this expectation with a preliminary investigation in the Fall of 2015, assigning the Binary Search video series in conjunction with two sections taught by two different professors at an undergraduate college [</w:t>
      </w:r>
      <w:r w:rsidR="00BF61A1" w:rsidRPr="00BF61A1">
        <w:rPr>
          <w:b/>
          <w:color w:val="800000"/>
        </w:rPr>
        <w:t>Schreiber</w:t>
      </w:r>
      <w:r w:rsidRPr="00B365A2">
        <w:t>].  This papers reports on an expanded investigation in the Spring of 2016.</w:t>
      </w:r>
    </w:p>
    <w:p w14:paraId="350CDE05" w14:textId="5A273ADB" w:rsidR="005C74AB" w:rsidRDefault="005C74AB" w:rsidP="005C74AB">
      <w:pPr>
        <w:pStyle w:val="Heading2"/>
      </w:pPr>
      <w:r>
        <w:t>Environment of this Investigation</w:t>
      </w:r>
    </w:p>
    <w:p w14:paraId="10D6C65F" w14:textId="77777777" w:rsidR="00B365A2" w:rsidRPr="00B365A2" w:rsidRDefault="00B365A2" w:rsidP="00B365A2">
      <w:pPr>
        <w:pStyle w:val="BodyTextIndent"/>
      </w:pPr>
      <w:r w:rsidRPr="00B365A2">
        <w:t>The video series were used among the following three distinct computing courses:</w:t>
      </w:r>
    </w:p>
    <w:p w14:paraId="1A84E2DC" w14:textId="77777777" w:rsidR="00B365A2" w:rsidRPr="00B365A2" w:rsidRDefault="00B365A2" w:rsidP="00424941">
      <w:pPr>
        <w:pStyle w:val="Bullet"/>
        <w:numPr>
          <w:ilvl w:val="0"/>
          <w:numId w:val="4"/>
        </w:numPr>
      </w:pPr>
      <w:r w:rsidRPr="00B365A2">
        <w:t xml:space="preserve">A CS1 course at </w:t>
      </w:r>
      <w:r w:rsidRPr="00B365A2">
        <w:rPr>
          <w:i/>
          <w:iCs/>
        </w:rPr>
        <w:t>College A</w:t>
      </w:r>
      <w:r w:rsidRPr="00B365A2">
        <w:t xml:space="preserve"> taught by three different instructors in corresponding sections.</w:t>
      </w:r>
    </w:p>
    <w:p w14:paraId="521A96DF" w14:textId="751B1733" w:rsidR="00B365A2" w:rsidRDefault="00B365A2" w:rsidP="00424941">
      <w:pPr>
        <w:pStyle w:val="Bullet"/>
        <w:numPr>
          <w:ilvl w:val="0"/>
          <w:numId w:val="4"/>
        </w:numPr>
      </w:pPr>
      <w:r w:rsidRPr="00B365A2">
        <w:t xml:space="preserve">A new CS1 course that provided emphasis with programming, including imperative and object-based approaches, that serves an alternate entry into the CS major at </w:t>
      </w:r>
      <w:r w:rsidRPr="00B365A2">
        <w:rPr>
          <w:i/>
          <w:iCs/>
        </w:rPr>
        <w:t>College B</w:t>
      </w:r>
      <w:r w:rsidRPr="00B365A2">
        <w:t xml:space="preserve">, </w:t>
      </w:r>
      <w:r w:rsidR="003D13F6" w:rsidRPr="00B365A2">
        <w:t>taught by a fourth professor distinct from the above three professors</w:t>
      </w:r>
      <w:r w:rsidRPr="00B365A2">
        <w:t>.</w:t>
      </w:r>
    </w:p>
    <w:p w14:paraId="518A42F2" w14:textId="2E261EB7" w:rsidR="00CF061D" w:rsidRPr="00B365A2" w:rsidRDefault="00CF061D" w:rsidP="00CF061D">
      <w:pPr>
        <w:pStyle w:val="Bullet"/>
        <w:numPr>
          <w:ilvl w:val="0"/>
          <w:numId w:val="4"/>
        </w:numPr>
      </w:pPr>
      <w:r w:rsidRPr="00B365A2">
        <w:t xml:space="preserve">A CS2 course at </w:t>
      </w:r>
      <w:r w:rsidRPr="00B365A2">
        <w:rPr>
          <w:i/>
          <w:iCs/>
        </w:rPr>
        <w:t>College B</w:t>
      </w:r>
      <w:r w:rsidR="003D13F6">
        <w:rPr>
          <w:i/>
          <w:iCs/>
        </w:rPr>
        <w:t xml:space="preserve"> </w:t>
      </w:r>
      <w:r w:rsidR="003D13F6" w:rsidRPr="00B365A2">
        <w:t xml:space="preserve">taught by the same professor at </w:t>
      </w:r>
      <w:r w:rsidR="003D13F6" w:rsidRPr="00B365A2">
        <w:rPr>
          <w:i/>
          <w:iCs/>
        </w:rPr>
        <w:t>College B</w:t>
      </w:r>
      <w:r w:rsidR="003D13F6" w:rsidRPr="00B365A2">
        <w:t xml:space="preserve"> above</w:t>
      </w:r>
      <w:r w:rsidRPr="00B365A2">
        <w:t>.</w:t>
      </w:r>
    </w:p>
    <w:p w14:paraId="5ADD14ED" w14:textId="1F1329FA" w:rsidR="00B365A2" w:rsidRPr="00B365A2" w:rsidRDefault="00B365A2" w:rsidP="00B365A2">
      <w:pPr>
        <w:pStyle w:val="BodyTextIndent"/>
      </w:pPr>
      <w:r w:rsidRPr="00B365A2">
        <w:t>Of the co</w:t>
      </w:r>
      <w:r w:rsidR="00CF061D">
        <w:t>urses described above, #1 and #2</w:t>
      </w:r>
      <w:r w:rsidRPr="00B365A2">
        <w:t xml:space="preserve"> used both video seri</w:t>
      </w:r>
      <w:r w:rsidR="00CF061D">
        <w:t>es during the course.  Course #3</w:t>
      </w:r>
      <w:r w:rsidRPr="00B365A2">
        <w:t xml:space="preserve"> only viewed Selection Sort for this report as these students had already viewed the Binary Search video </w:t>
      </w:r>
      <w:r w:rsidR="00424941">
        <w:t>series as part of [</w:t>
      </w:r>
      <w:r w:rsidR="00BF61A1" w:rsidRPr="00BF61A1">
        <w:rPr>
          <w:b/>
          <w:color w:val="800000"/>
        </w:rPr>
        <w:t>Schreiber</w:t>
      </w:r>
      <w:r w:rsidR="00424941">
        <w:t>].</w:t>
      </w:r>
    </w:p>
    <w:p w14:paraId="27140CE7" w14:textId="276EB1C9" w:rsidR="00B365A2" w:rsidRPr="00B365A2" w:rsidRDefault="00B365A2" w:rsidP="00B365A2">
      <w:pPr>
        <w:pStyle w:val="BodyTextIndent"/>
      </w:pPr>
      <w:r w:rsidRPr="00B365A2">
        <w:t>Each professor was asked to assign, or at least “strongly encourage,” the students in their course to review a given video series just before the same algorithm was introduced in the course.  We had hoped that students reviewed the material prior to the class where the corresponding algorithm was discussed, but this hope was not always possible.  </w:t>
      </w:r>
    </w:p>
    <w:p w14:paraId="6CEB71BF" w14:textId="654E7207" w:rsidR="00424941" w:rsidRDefault="00B365A2" w:rsidP="00B365A2">
      <w:pPr>
        <w:pStyle w:val="BodyTextIndent"/>
      </w:pPr>
      <w:r w:rsidRPr="00B365A2">
        <w:t>Before each video series was a request to complete a brief attitude survey (</w:t>
      </w:r>
      <w:r w:rsidRPr="00B365A2">
        <w:rPr>
          <w:i/>
          <w:iCs/>
        </w:rPr>
        <w:t>i.e.,</w:t>
      </w:r>
      <w:r w:rsidRPr="00B365A2">
        <w:t xml:space="preserve"> pre-survey).  Next, each student would complete the three videos in sequence for the given algorithm.  Finally, they would complete a second attitude survey (</w:t>
      </w:r>
      <w:r w:rsidRPr="00B365A2">
        <w:rPr>
          <w:i/>
          <w:iCs/>
        </w:rPr>
        <w:t>i.e.,</w:t>
      </w:r>
      <w:r w:rsidRPr="00B365A2">
        <w:t xml:space="preserve"> post-survey) with some follow up questions on the initial survey, as well as a few conceptual questions, and more questions about their experience </w:t>
      </w:r>
      <w:r w:rsidR="00424941">
        <w:t xml:space="preserve">and takeaways from watching the </w:t>
      </w:r>
      <w:r w:rsidRPr="00B365A2">
        <w:t>videos.</w:t>
      </w:r>
    </w:p>
    <w:p w14:paraId="26220041" w14:textId="3D70B41B" w:rsidR="00424941" w:rsidRPr="00424941" w:rsidRDefault="00424941" w:rsidP="003C2D4E">
      <w:pPr>
        <w:pStyle w:val="Heading2"/>
      </w:pPr>
      <w:r w:rsidRPr="003C2D4E">
        <w:rPr>
          <w:bCs/>
        </w:rPr>
        <w:lastRenderedPageBreak/>
        <w:t>The Video Series</w:t>
      </w:r>
    </w:p>
    <w:p w14:paraId="4D0B00F2" w14:textId="3456E76A" w:rsidR="008B197E" w:rsidRDefault="00424941">
      <w:pPr>
        <w:pStyle w:val="BodyTextIndent"/>
      </w:pPr>
      <w:r w:rsidRPr="00424941">
        <w:t>In this study we examine the effectiveness of two video series, one on binary search and the other on selection sort. Both of the series employ a three-part approach to teaching algorithms: intuition, analysis, and then song and code. The intuition video explains the idea behind the algorithm and how one could perform it using pen and paper. The instructor in the video first covers a high level explanation of the algorithm and then performs it step by step on an interact</w:t>
      </w:r>
      <w:r w:rsidR="003E2F4B">
        <w:t>ive blackboard where the result</w:t>
      </w:r>
      <w:r w:rsidRPr="00424941">
        <w:t xml:space="preserve"> of each iteration are visible to the viewer. Next is the analysis video where the idea of asymptotic analysis is first introduced to the viewer. The instructor does this by showing how an algorithm can be broken down into a number of steps and then boiling this value down by eliminating constants and terms that are dominated as the input size grows. After going through a few simple examples of how to perform an analysis, the viewer sees how to synthesize the topic algorithm into a generic number of steps (in terms of a list of size </w:t>
      </w:r>
      <w:r w:rsidRPr="00424941">
        <w:rPr>
          <w:i/>
          <w:iCs/>
        </w:rPr>
        <w:t>n</w:t>
      </w:r>
      <w:r w:rsidRPr="00424941">
        <w:t>) and then how to distill that expression by removing constants and insignificant terms. Next after covering the analysis, the instructor performs the “</w:t>
      </w:r>
      <w:r w:rsidR="003B05E7">
        <w:rPr>
          <w:i/>
        </w:rPr>
        <w:t>anonymous</w:t>
      </w:r>
      <w:r w:rsidRPr="00424941">
        <w:t xml:space="preserve">” which is the given algorithm’s </w:t>
      </w:r>
      <w:r w:rsidR="00F74FEC" w:rsidRPr="00424941">
        <w:t>pseudo code</w:t>
      </w:r>
      <w:r w:rsidRPr="00424941">
        <w:t xml:space="preserve"> rhymed with melody and piano accompaniment. During this performance, the lyrics of the song are visualized in a code editor as the instructor sings them. Lastly, the instructor takes each line of </w:t>
      </w:r>
      <w:r w:rsidR="00F74FEC" w:rsidRPr="00424941">
        <w:t>pseudo code</w:t>
      </w:r>
      <w:r w:rsidRPr="00424941">
        <w:t xml:space="preserve"> and shows how it can be translated into equivalent Python code. No prerequisite Python knowledge is assumed, but students can visit the website </w:t>
      </w:r>
      <w:r w:rsidR="003B05E7">
        <w:rPr>
          <w:i/>
        </w:rPr>
        <w:t>ananomous.url</w:t>
      </w:r>
      <w:r w:rsidRPr="00424941">
        <w:t xml:space="preserve"> for introductory explanations for Python syntax and concepts. </w:t>
      </w:r>
    </w:p>
    <w:p w14:paraId="0945788C" w14:textId="6E0DAEC6" w:rsidR="005C74AB" w:rsidRDefault="005C74AB" w:rsidP="005C74AB">
      <w:pPr>
        <w:pStyle w:val="Heading2"/>
      </w:pPr>
      <w:r>
        <w:t>Study Methodology</w:t>
      </w:r>
    </w:p>
    <w:p w14:paraId="62710CFC" w14:textId="69F1BFE1" w:rsidR="001F4AAC" w:rsidRDefault="001F4AAC" w:rsidP="001F4AAC">
      <w:pPr>
        <w:pStyle w:val="BodyTextIndent"/>
      </w:pPr>
      <w:r w:rsidRPr="001F4AAC">
        <w:t>We administered both a pre</w:t>
      </w:r>
      <w:r w:rsidR="00CC0277">
        <w:t>-</w:t>
      </w:r>
      <w:r w:rsidRPr="001F4AAC">
        <w:t xml:space="preserve"> and post</w:t>
      </w:r>
      <w:r w:rsidR="00CC0277">
        <w:t>-</w:t>
      </w:r>
      <w:r w:rsidRPr="001F4AAC">
        <w:t xml:space="preserve"> survey, each to assess the effectiveness of a given video series used to introduce a particular algorithm. Specifically, students would answer questions that gauged their familiarity with programming, music and the given algorithm itself. Each student provided an (anonymous) ID on each of the surveys that would allow us to pair with their survey responses. Since objectives are stated at the very beginning of each video, students were told that if they felt that they had a strong grasp of the objective of a video they could move onto the next. The post survey consisted of questions that gauged any change in confidence level reported after watching the video series, but also assessed each student’s knowledge by asking conceptual questions about the algorithm and its analysis. We offered a section where students could optionally provide their gender, race/ethnicity, and whether they had a disability because we were also interested in measuring responses across different demographics. Lastly, students had the option to write feedback of any nature about the videos.</w:t>
      </w:r>
    </w:p>
    <w:p w14:paraId="42E4A928" w14:textId="57456C1F" w:rsidR="00F039F6" w:rsidRDefault="00F039F6" w:rsidP="00F039F6">
      <w:pPr>
        <w:pStyle w:val="Heading1"/>
      </w:pPr>
      <w:r>
        <w:t>RESULTS</w:t>
      </w:r>
    </w:p>
    <w:p w14:paraId="593A4D1B" w14:textId="77B158F9" w:rsidR="00F039F6" w:rsidRDefault="001A4A6B" w:rsidP="001F4AAC">
      <w:pPr>
        <w:pStyle w:val="BodyTextIndent"/>
      </w:pPr>
      <w:r>
        <w:t>We first describe the makeup of the students in our study as report</w:t>
      </w:r>
      <w:r w:rsidR="006043D0">
        <w:t>ed</w:t>
      </w:r>
      <w:r>
        <w:t xml:space="preserve"> by the students</w:t>
      </w:r>
      <w:r w:rsidR="00DD7F4C">
        <w:t xml:space="preserve"> themselves.  Next, we present</w:t>
      </w:r>
      <w:r>
        <w:t xml:space="preserve"> results of the students understanding of the conceptual materials obtained from the post-survey.  Finally, we try to gauge any change in confidence and attitude reported by the students.</w:t>
      </w:r>
    </w:p>
    <w:p w14:paraId="5A50E3AA" w14:textId="232B06CC" w:rsidR="001A4A6B" w:rsidRDefault="001A4A6B" w:rsidP="001A4A6B">
      <w:pPr>
        <w:pStyle w:val="Heading2"/>
      </w:pPr>
      <w:r>
        <w:t>Demographics</w:t>
      </w:r>
    </w:p>
    <w:p w14:paraId="72861EEA" w14:textId="7E5CFE50" w:rsidR="00787AE1" w:rsidRPr="00787AE1" w:rsidRDefault="001A4A6B" w:rsidP="001F4AAC">
      <w:pPr>
        <w:pStyle w:val="BodyTextIndent"/>
      </w:pPr>
      <w:r w:rsidRPr="001A4A6B">
        <w:t xml:space="preserve">The classes surveyed for this study came from three different courses </w:t>
      </w:r>
      <w:r w:rsidR="00094262" w:rsidRPr="001A4A6B">
        <w:t>between</w:t>
      </w:r>
      <w:r w:rsidRPr="001A4A6B">
        <w:t xml:space="preserve"> two liberal arts colleges. For both algorithms there were five different sections among the three courses. For both algorithms we recorded the distributions fo</w:t>
      </w:r>
      <w:r w:rsidR="00787AE1">
        <w:t xml:space="preserve">r race/ethnicity, </w:t>
      </w:r>
      <w:r w:rsidR="005D7892">
        <w:t>course/section</w:t>
      </w:r>
      <w:r w:rsidR="00787AE1">
        <w:t>, disability and gender.  Please note that students were invited to share with an open-ended request (</w:t>
      </w:r>
      <w:r w:rsidR="00787AE1">
        <w:rPr>
          <w:i/>
        </w:rPr>
        <w:t xml:space="preserve">e.g., </w:t>
      </w:r>
      <w:r w:rsidR="00787AE1">
        <w:t>gender?), and not from a fixed set of choices.</w:t>
      </w:r>
    </w:p>
    <w:p w14:paraId="7DFEE6D6" w14:textId="77777777" w:rsidR="005D7892" w:rsidRDefault="00787AE1" w:rsidP="001F4AAC">
      <w:pPr>
        <w:pStyle w:val="BodyTextIndent"/>
      </w:pPr>
      <w:r>
        <w:lastRenderedPageBreak/>
        <w:t xml:space="preserve">We present the student reported </w:t>
      </w:r>
      <w:r w:rsidR="008525CC">
        <w:t>demographics</w:t>
      </w:r>
      <w:r>
        <w:t xml:space="preserve"> for the stud</w:t>
      </w:r>
      <w:r w:rsidR="008525CC">
        <w:t>y in the following three tables</w:t>
      </w:r>
      <w:r w:rsidR="001A4A6B" w:rsidRPr="001A4A6B">
        <w:t xml:space="preserve">. In addition to these characteristics we also </w:t>
      </w:r>
      <w:r w:rsidR="002D4A77">
        <w:t>invited</w:t>
      </w:r>
      <w:r w:rsidR="001A4A6B" w:rsidRPr="001A4A6B">
        <w:t xml:space="preserve"> students </w:t>
      </w:r>
      <w:r w:rsidR="002D4A77">
        <w:t>to share any disability</w:t>
      </w:r>
      <w:r w:rsidR="005D7892">
        <w:t xml:space="preserve">. </w:t>
      </w:r>
      <w:r w:rsidR="001A4A6B" w:rsidRPr="001A4A6B">
        <w:t xml:space="preserve">Of the 22 that responded for binary search one student </w:t>
      </w:r>
      <w:r w:rsidR="002D4A77">
        <w:t>reported</w:t>
      </w:r>
      <w:r w:rsidR="001A4A6B" w:rsidRPr="001A4A6B">
        <w:t xml:space="preserve"> ADHD, and of the 28 students that responded for selection sort, again one </w:t>
      </w:r>
      <w:r w:rsidR="002D4A77">
        <w:t>reported</w:t>
      </w:r>
      <w:r w:rsidR="001A4A6B" w:rsidRPr="001A4A6B">
        <w:t xml:space="preserve"> ADHD. </w:t>
      </w:r>
    </w:p>
    <w:p w14:paraId="3DBDDC2B" w14:textId="0E7ED101" w:rsidR="001A4A6B" w:rsidRDefault="001A4A6B" w:rsidP="001F4AAC">
      <w:pPr>
        <w:pStyle w:val="BodyTextIndent"/>
      </w:pPr>
      <w:r w:rsidRPr="001A4A6B">
        <w:t>Since not all participants participated in both the pre</w:t>
      </w:r>
      <w:r w:rsidR="002D4A77">
        <w:t>- and post-</w:t>
      </w:r>
      <w:r w:rsidRPr="001A4A6B">
        <w:t>surveys, f</w:t>
      </w:r>
      <w:r w:rsidR="002D4A77">
        <w:t>or some analyses we removed pre-</w:t>
      </w:r>
      <w:r w:rsidRPr="001A4A6B">
        <w:t xml:space="preserve">responses that </w:t>
      </w:r>
      <w:r w:rsidR="002D4A77">
        <w:t>did not have corresponding post-</w:t>
      </w:r>
      <w:r w:rsidRPr="001A4A6B">
        <w:t xml:space="preserve">responses. The results </w:t>
      </w:r>
      <w:r w:rsidR="002D4A77">
        <w:t xml:space="preserve">in Tables 1 – 3 </w:t>
      </w:r>
      <w:r w:rsidRPr="001A4A6B">
        <w:t xml:space="preserve">below </w:t>
      </w:r>
      <w:r w:rsidR="005D7892">
        <w:t>depict</w:t>
      </w:r>
      <w:r w:rsidRPr="001A4A6B">
        <w:t xml:space="preserve"> the entire post response samples.</w:t>
      </w:r>
    </w:p>
    <w:p w14:paraId="32E574F4" w14:textId="1BAAF5CF" w:rsidR="00A21F94" w:rsidRDefault="00A21F94" w:rsidP="00A21F94">
      <w:pPr>
        <w:pStyle w:val="Caption"/>
        <w:keepNext/>
      </w:pPr>
      <w:r>
        <w:t xml:space="preserve">Table </w:t>
      </w:r>
      <w:fldSimple w:instr=" SEQ Table \* ARABIC ">
        <w:r>
          <w:rPr>
            <w:noProof/>
          </w:rPr>
          <w:t>1</w:t>
        </w:r>
      </w:fldSimple>
      <w:r w:rsidR="00C87026">
        <w:t>. Racial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839"/>
        <w:gridCol w:w="1170"/>
        <w:gridCol w:w="1150"/>
      </w:tblGrid>
      <w:tr w:rsidR="002C5180" w14:paraId="5C5F86A5" w14:textId="77777777" w:rsidTr="002C5180">
        <w:trPr>
          <w:trHeight w:val="310"/>
          <w:jc w:val="center"/>
        </w:trPr>
        <w:tc>
          <w:tcPr>
            <w:tcW w:w="1839" w:type="dxa"/>
            <w:vAlign w:val="center"/>
          </w:tcPr>
          <w:p w14:paraId="27C477A1" w14:textId="264CAF10" w:rsidR="002C5180" w:rsidRDefault="002C5180" w:rsidP="00A21F94">
            <w:pPr>
              <w:pStyle w:val="BodyTextIndent"/>
              <w:jc w:val="center"/>
              <w:rPr>
                <w:b/>
                <w:bCs/>
              </w:rPr>
            </w:pPr>
          </w:p>
        </w:tc>
        <w:tc>
          <w:tcPr>
            <w:tcW w:w="1170" w:type="dxa"/>
            <w:vAlign w:val="center"/>
          </w:tcPr>
          <w:p w14:paraId="372E1DCD" w14:textId="6DF48194" w:rsidR="002C5180" w:rsidRDefault="002C5180" w:rsidP="00A21F94">
            <w:pPr>
              <w:pStyle w:val="BodyTextIndent"/>
              <w:jc w:val="center"/>
              <w:rPr>
                <w:b/>
                <w:bCs/>
              </w:rPr>
            </w:pPr>
            <w:r>
              <w:rPr>
                <w:b/>
                <w:bCs/>
              </w:rPr>
              <w:t>Binary Search</w:t>
            </w:r>
          </w:p>
        </w:tc>
        <w:tc>
          <w:tcPr>
            <w:tcW w:w="1150" w:type="dxa"/>
            <w:vAlign w:val="center"/>
          </w:tcPr>
          <w:p w14:paraId="7F3A11CB" w14:textId="7311D05C" w:rsidR="002C5180" w:rsidRDefault="002C5180" w:rsidP="002C5180">
            <w:pPr>
              <w:pStyle w:val="BodyTextIndent"/>
              <w:jc w:val="center"/>
              <w:rPr>
                <w:b/>
                <w:bCs/>
              </w:rPr>
            </w:pPr>
            <w:r>
              <w:rPr>
                <w:b/>
                <w:bCs/>
              </w:rPr>
              <w:t>Selection Sort</w:t>
            </w:r>
          </w:p>
        </w:tc>
      </w:tr>
      <w:tr w:rsidR="002C5180" w14:paraId="42626C03" w14:textId="77777777" w:rsidTr="002C5180">
        <w:trPr>
          <w:trHeight w:val="310"/>
          <w:jc w:val="center"/>
        </w:trPr>
        <w:tc>
          <w:tcPr>
            <w:tcW w:w="1839" w:type="dxa"/>
            <w:vAlign w:val="center"/>
          </w:tcPr>
          <w:p w14:paraId="57BD5A5B" w14:textId="1945AEB6" w:rsidR="002C5180" w:rsidRDefault="002C5180" w:rsidP="00A21F94">
            <w:pPr>
              <w:pStyle w:val="BodyTextIndent"/>
              <w:jc w:val="center"/>
            </w:pPr>
            <w:r>
              <w:t>Hispanic</w:t>
            </w:r>
          </w:p>
        </w:tc>
        <w:tc>
          <w:tcPr>
            <w:tcW w:w="1170" w:type="dxa"/>
            <w:vAlign w:val="center"/>
          </w:tcPr>
          <w:p w14:paraId="16403CE9" w14:textId="037FC3BF" w:rsidR="002C5180" w:rsidRDefault="002C5180" w:rsidP="00A21F94">
            <w:pPr>
              <w:pStyle w:val="BodyTextIndent"/>
              <w:jc w:val="center"/>
            </w:pPr>
            <w:r>
              <w:t>2</w:t>
            </w:r>
          </w:p>
        </w:tc>
        <w:tc>
          <w:tcPr>
            <w:tcW w:w="1150" w:type="dxa"/>
            <w:vAlign w:val="center"/>
          </w:tcPr>
          <w:p w14:paraId="396D870B" w14:textId="2BE8A658" w:rsidR="002C5180" w:rsidRDefault="002C5180" w:rsidP="00A21F94">
            <w:pPr>
              <w:pStyle w:val="BodyTextIndent"/>
              <w:jc w:val="center"/>
            </w:pPr>
            <w:r>
              <w:t>2</w:t>
            </w:r>
          </w:p>
        </w:tc>
      </w:tr>
      <w:tr w:rsidR="002C5180" w14:paraId="07CC2F45" w14:textId="77777777" w:rsidTr="002C5180">
        <w:trPr>
          <w:trHeight w:val="341"/>
          <w:jc w:val="center"/>
        </w:trPr>
        <w:tc>
          <w:tcPr>
            <w:tcW w:w="1839" w:type="dxa"/>
            <w:vAlign w:val="center"/>
          </w:tcPr>
          <w:p w14:paraId="54D67479" w14:textId="7CBF567F" w:rsidR="002C5180" w:rsidRDefault="002C5180" w:rsidP="00A21F94">
            <w:pPr>
              <w:pStyle w:val="BodyTextIndent"/>
              <w:jc w:val="center"/>
            </w:pPr>
            <w:r>
              <w:t>Asian</w:t>
            </w:r>
          </w:p>
        </w:tc>
        <w:tc>
          <w:tcPr>
            <w:tcW w:w="1170" w:type="dxa"/>
            <w:vAlign w:val="center"/>
          </w:tcPr>
          <w:p w14:paraId="423F2770" w14:textId="1374C280" w:rsidR="002C5180" w:rsidRDefault="002C5180" w:rsidP="00A21F94">
            <w:pPr>
              <w:pStyle w:val="BodyTextIndent"/>
              <w:jc w:val="center"/>
            </w:pPr>
            <w:r>
              <w:t>6</w:t>
            </w:r>
          </w:p>
        </w:tc>
        <w:tc>
          <w:tcPr>
            <w:tcW w:w="1150" w:type="dxa"/>
            <w:vAlign w:val="center"/>
          </w:tcPr>
          <w:p w14:paraId="0BD8D998" w14:textId="68B47BC2" w:rsidR="002C5180" w:rsidRDefault="002C5180" w:rsidP="00A21F94">
            <w:pPr>
              <w:pStyle w:val="BodyTextIndent"/>
              <w:jc w:val="center"/>
            </w:pPr>
            <w:r>
              <w:t>11</w:t>
            </w:r>
          </w:p>
        </w:tc>
      </w:tr>
      <w:tr w:rsidR="002C5180" w14:paraId="54396975" w14:textId="77777777" w:rsidTr="002C5180">
        <w:trPr>
          <w:trHeight w:val="341"/>
          <w:jc w:val="center"/>
        </w:trPr>
        <w:tc>
          <w:tcPr>
            <w:tcW w:w="1839" w:type="dxa"/>
            <w:vAlign w:val="center"/>
          </w:tcPr>
          <w:p w14:paraId="34BB8B08" w14:textId="5AC9B5CC" w:rsidR="002C5180" w:rsidRDefault="002C5180" w:rsidP="002C5180">
            <w:pPr>
              <w:pStyle w:val="BodyTextIndent"/>
              <w:jc w:val="center"/>
            </w:pPr>
            <w:r>
              <w:t>Black</w:t>
            </w:r>
          </w:p>
        </w:tc>
        <w:tc>
          <w:tcPr>
            <w:tcW w:w="1170" w:type="dxa"/>
            <w:vAlign w:val="center"/>
          </w:tcPr>
          <w:p w14:paraId="19D1805C" w14:textId="07503A37" w:rsidR="002C5180" w:rsidRDefault="002C5180" w:rsidP="00A21F94">
            <w:pPr>
              <w:pStyle w:val="BodyTextIndent"/>
              <w:jc w:val="center"/>
            </w:pPr>
            <w:r>
              <w:t>3</w:t>
            </w:r>
          </w:p>
        </w:tc>
        <w:tc>
          <w:tcPr>
            <w:tcW w:w="1150" w:type="dxa"/>
            <w:vAlign w:val="center"/>
          </w:tcPr>
          <w:p w14:paraId="153603B8" w14:textId="2BD6010F" w:rsidR="002C5180" w:rsidRDefault="002C5180" w:rsidP="00A21F94">
            <w:pPr>
              <w:pStyle w:val="BodyTextIndent"/>
              <w:jc w:val="center"/>
            </w:pPr>
            <w:r>
              <w:t>3</w:t>
            </w:r>
          </w:p>
        </w:tc>
      </w:tr>
      <w:tr w:rsidR="002C5180" w14:paraId="618AB226" w14:textId="77777777" w:rsidTr="002C5180">
        <w:trPr>
          <w:trHeight w:val="341"/>
          <w:jc w:val="center"/>
        </w:trPr>
        <w:tc>
          <w:tcPr>
            <w:tcW w:w="1839" w:type="dxa"/>
            <w:vAlign w:val="center"/>
          </w:tcPr>
          <w:p w14:paraId="2B173B9A" w14:textId="4BF37550" w:rsidR="002C5180" w:rsidRDefault="002C5180" w:rsidP="00A21F94">
            <w:pPr>
              <w:pStyle w:val="BodyTextIndent"/>
              <w:jc w:val="center"/>
            </w:pPr>
            <w:r>
              <w:t>White</w:t>
            </w:r>
          </w:p>
        </w:tc>
        <w:tc>
          <w:tcPr>
            <w:tcW w:w="1170" w:type="dxa"/>
            <w:vAlign w:val="center"/>
          </w:tcPr>
          <w:p w14:paraId="35564AA7" w14:textId="55E8683C" w:rsidR="002C5180" w:rsidRDefault="002C5180" w:rsidP="00A21F94">
            <w:pPr>
              <w:pStyle w:val="BodyTextIndent"/>
              <w:jc w:val="center"/>
            </w:pPr>
            <w:r>
              <w:t>14</w:t>
            </w:r>
          </w:p>
        </w:tc>
        <w:tc>
          <w:tcPr>
            <w:tcW w:w="1150" w:type="dxa"/>
            <w:vAlign w:val="center"/>
          </w:tcPr>
          <w:p w14:paraId="4A7ABBFD" w14:textId="4FF3AE65" w:rsidR="002C5180" w:rsidRDefault="002C5180" w:rsidP="00A21F94">
            <w:pPr>
              <w:pStyle w:val="BodyTextIndent"/>
              <w:jc w:val="center"/>
            </w:pPr>
            <w:r>
              <w:t>22</w:t>
            </w:r>
          </w:p>
        </w:tc>
      </w:tr>
      <w:tr w:rsidR="002C5180" w14:paraId="415C90AD" w14:textId="77777777" w:rsidTr="002C5180">
        <w:trPr>
          <w:trHeight w:val="341"/>
          <w:jc w:val="center"/>
        </w:trPr>
        <w:tc>
          <w:tcPr>
            <w:tcW w:w="1839" w:type="dxa"/>
            <w:vAlign w:val="center"/>
          </w:tcPr>
          <w:p w14:paraId="2CBDC66C" w14:textId="52764869" w:rsidR="002C5180" w:rsidRDefault="002C5180" w:rsidP="00A21F94">
            <w:pPr>
              <w:pStyle w:val="BodyTextIndent"/>
              <w:jc w:val="center"/>
            </w:pPr>
            <w:r>
              <w:t>Mixed</w:t>
            </w:r>
          </w:p>
        </w:tc>
        <w:tc>
          <w:tcPr>
            <w:tcW w:w="1170" w:type="dxa"/>
            <w:vAlign w:val="center"/>
          </w:tcPr>
          <w:p w14:paraId="0771E8C4" w14:textId="1EC4B751" w:rsidR="002C5180" w:rsidRDefault="002C5180" w:rsidP="00A21F94">
            <w:pPr>
              <w:pStyle w:val="BodyTextIndent"/>
              <w:jc w:val="center"/>
            </w:pPr>
            <w:r>
              <w:t>1</w:t>
            </w:r>
          </w:p>
        </w:tc>
        <w:tc>
          <w:tcPr>
            <w:tcW w:w="1150" w:type="dxa"/>
            <w:vAlign w:val="center"/>
          </w:tcPr>
          <w:p w14:paraId="37FB5E47" w14:textId="7BB969BA" w:rsidR="002C5180" w:rsidRDefault="002C5180" w:rsidP="00A21F94">
            <w:pPr>
              <w:pStyle w:val="BodyTextIndent"/>
              <w:jc w:val="center"/>
            </w:pPr>
            <w:r>
              <w:t>2</w:t>
            </w:r>
          </w:p>
        </w:tc>
      </w:tr>
      <w:tr w:rsidR="002C5180" w14:paraId="4EA965CB" w14:textId="77777777" w:rsidTr="002C5180">
        <w:trPr>
          <w:trHeight w:val="341"/>
          <w:jc w:val="center"/>
        </w:trPr>
        <w:tc>
          <w:tcPr>
            <w:tcW w:w="1839" w:type="dxa"/>
            <w:vAlign w:val="center"/>
          </w:tcPr>
          <w:p w14:paraId="46BFA4A1" w14:textId="53B2F29D" w:rsidR="002C5180" w:rsidRDefault="002C5180" w:rsidP="00A21F94">
            <w:pPr>
              <w:pStyle w:val="BodyTextIndent"/>
              <w:jc w:val="center"/>
            </w:pPr>
            <w:r>
              <w:t>North African</w:t>
            </w:r>
          </w:p>
        </w:tc>
        <w:tc>
          <w:tcPr>
            <w:tcW w:w="1170" w:type="dxa"/>
            <w:vAlign w:val="center"/>
          </w:tcPr>
          <w:p w14:paraId="411B882F" w14:textId="13125105" w:rsidR="002C5180" w:rsidRDefault="002C5180" w:rsidP="00A21F94">
            <w:pPr>
              <w:pStyle w:val="BodyTextIndent"/>
              <w:jc w:val="center"/>
            </w:pPr>
            <w:r>
              <w:t>0</w:t>
            </w:r>
          </w:p>
        </w:tc>
        <w:tc>
          <w:tcPr>
            <w:tcW w:w="1150" w:type="dxa"/>
            <w:vAlign w:val="center"/>
          </w:tcPr>
          <w:p w14:paraId="584448CB" w14:textId="40BAFA71" w:rsidR="002C5180" w:rsidRDefault="002C5180" w:rsidP="00A21F94">
            <w:pPr>
              <w:pStyle w:val="BodyTextIndent"/>
              <w:jc w:val="center"/>
            </w:pPr>
            <w:r>
              <w:t>1</w:t>
            </w:r>
          </w:p>
        </w:tc>
      </w:tr>
      <w:tr w:rsidR="002C5180" w14:paraId="515A76B8" w14:textId="77777777" w:rsidTr="002C5180">
        <w:trPr>
          <w:trHeight w:val="341"/>
          <w:jc w:val="center"/>
        </w:trPr>
        <w:tc>
          <w:tcPr>
            <w:tcW w:w="1839" w:type="dxa"/>
            <w:vAlign w:val="center"/>
          </w:tcPr>
          <w:p w14:paraId="694934B5" w14:textId="1689630A" w:rsidR="002C5180" w:rsidRDefault="002C5180" w:rsidP="00A21F94">
            <w:pPr>
              <w:pStyle w:val="BodyTextIndent"/>
              <w:jc w:val="center"/>
            </w:pPr>
            <w:r>
              <w:t>No Response</w:t>
            </w:r>
          </w:p>
        </w:tc>
        <w:tc>
          <w:tcPr>
            <w:tcW w:w="1170" w:type="dxa"/>
            <w:vAlign w:val="center"/>
          </w:tcPr>
          <w:p w14:paraId="3877E4C9" w14:textId="2FA92337" w:rsidR="002C5180" w:rsidRDefault="002C5180" w:rsidP="00A21F94">
            <w:pPr>
              <w:pStyle w:val="BodyTextIndent"/>
              <w:jc w:val="center"/>
            </w:pPr>
            <w:r>
              <w:t>9</w:t>
            </w:r>
          </w:p>
        </w:tc>
        <w:tc>
          <w:tcPr>
            <w:tcW w:w="1150" w:type="dxa"/>
            <w:vAlign w:val="center"/>
          </w:tcPr>
          <w:p w14:paraId="6A90D579" w14:textId="06B8D1BF" w:rsidR="002C5180" w:rsidRDefault="002C5180" w:rsidP="00A21F94">
            <w:pPr>
              <w:pStyle w:val="BodyTextIndent"/>
              <w:jc w:val="center"/>
            </w:pPr>
            <w:r>
              <w:t>12</w:t>
            </w:r>
          </w:p>
        </w:tc>
      </w:tr>
      <w:tr w:rsidR="002C5180" w14:paraId="69522A80" w14:textId="77777777" w:rsidTr="002C5180">
        <w:trPr>
          <w:trHeight w:val="341"/>
          <w:jc w:val="center"/>
        </w:trPr>
        <w:tc>
          <w:tcPr>
            <w:tcW w:w="1839" w:type="dxa"/>
            <w:vAlign w:val="center"/>
          </w:tcPr>
          <w:p w14:paraId="6E2C7588" w14:textId="10357281" w:rsidR="002C5180" w:rsidRPr="002C5180" w:rsidRDefault="002C5180" w:rsidP="00A21F94">
            <w:pPr>
              <w:pStyle w:val="BodyTextIndent"/>
              <w:jc w:val="center"/>
              <w:rPr>
                <w:b/>
              </w:rPr>
            </w:pPr>
            <w:r w:rsidRPr="002C5180">
              <w:rPr>
                <w:b/>
              </w:rPr>
              <w:t>Totals</w:t>
            </w:r>
          </w:p>
        </w:tc>
        <w:tc>
          <w:tcPr>
            <w:tcW w:w="1170" w:type="dxa"/>
            <w:vAlign w:val="center"/>
          </w:tcPr>
          <w:p w14:paraId="3AA5D6C5" w14:textId="6D7677F5" w:rsidR="002C5180" w:rsidRPr="002C5180" w:rsidRDefault="002C5180" w:rsidP="00A21F94">
            <w:pPr>
              <w:pStyle w:val="BodyTextIndent"/>
              <w:jc w:val="center"/>
              <w:rPr>
                <w:b/>
              </w:rPr>
            </w:pPr>
            <w:r w:rsidRPr="002C5180">
              <w:rPr>
                <w:b/>
              </w:rPr>
              <w:t>35</w:t>
            </w:r>
          </w:p>
        </w:tc>
        <w:tc>
          <w:tcPr>
            <w:tcW w:w="1150" w:type="dxa"/>
            <w:vAlign w:val="center"/>
          </w:tcPr>
          <w:p w14:paraId="072D20DB" w14:textId="74E4DB93" w:rsidR="002C5180" w:rsidRPr="002C5180" w:rsidRDefault="002C5180" w:rsidP="00A21F94">
            <w:pPr>
              <w:pStyle w:val="BodyTextIndent"/>
              <w:jc w:val="center"/>
              <w:rPr>
                <w:b/>
              </w:rPr>
            </w:pPr>
            <w:r w:rsidRPr="002C5180">
              <w:rPr>
                <w:b/>
              </w:rPr>
              <w:t>53</w:t>
            </w:r>
          </w:p>
        </w:tc>
      </w:tr>
    </w:tbl>
    <w:p w14:paraId="0AF87696" w14:textId="77777777" w:rsidR="00A31DB6" w:rsidRDefault="00A31DB6" w:rsidP="00A31DB6">
      <w:pPr>
        <w:pStyle w:val="BodyTextIndent"/>
        <w:jc w:val="left"/>
      </w:pPr>
    </w:p>
    <w:p w14:paraId="4D1ADF5B" w14:textId="41AD3CFD" w:rsidR="00C87026" w:rsidRDefault="00C87026" w:rsidP="00C87026">
      <w:pPr>
        <w:pStyle w:val="Caption"/>
        <w:keepNext/>
      </w:pPr>
      <w:r>
        <w:t xml:space="preserve">Table </w:t>
      </w:r>
      <w:fldSimple w:instr=" SEQ Table \* ARABIC ">
        <w:r>
          <w:rPr>
            <w:noProof/>
          </w:rPr>
          <w:t>2</w:t>
        </w:r>
      </w:fldSimple>
      <w:r>
        <w:t>. Gender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66"/>
        <w:gridCol w:w="1170"/>
        <w:gridCol w:w="1078"/>
      </w:tblGrid>
      <w:tr w:rsidR="00C87026" w14:paraId="36187415" w14:textId="77777777" w:rsidTr="00C87026">
        <w:trPr>
          <w:trHeight w:val="310"/>
          <w:jc w:val="center"/>
        </w:trPr>
        <w:tc>
          <w:tcPr>
            <w:tcW w:w="1766" w:type="dxa"/>
            <w:vAlign w:val="center"/>
          </w:tcPr>
          <w:p w14:paraId="1AF77CFA" w14:textId="4353E636" w:rsidR="00C87026" w:rsidRDefault="00C87026" w:rsidP="00C87026">
            <w:pPr>
              <w:pStyle w:val="BodyTextIndent"/>
              <w:jc w:val="center"/>
              <w:rPr>
                <w:b/>
                <w:bCs/>
              </w:rPr>
            </w:pPr>
          </w:p>
        </w:tc>
        <w:tc>
          <w:tcPr>
            <w:tcW w:w="1170" w:type="dxa"/>
            <w:vAlign w:val="center"/>
          </w:tcPr>
          <w:p w14:paraId="23825146" w14:textId="76BD0B32" w:rsidR="00C87026" w:rsidRDefault="00C87026" w:rsidP="00C87026">
            <w:pPr>
              <w:pStyle w:val="BodyTextIndent"/>
              <w:jc w:val="center"/>
              <w:rPr>
                <w:b/>
                <w:bCs/>
              </w:rPr>
            </w:pPr>
            <w:r>
              <w:rPr>
                <w:b/>
                <w:bCs/>
              </w:rPr>
              <w:t>Binary Search</w:t>
            </w:r>
          </w:p>
        </w:tc>
        <w:tc>
          <w:tcPr>
            <w:tcW w:w="1078" w:type="dxa"/>
            <w:vAlign w:val="center"/>
          </w:tcPr>
          <w:p w14:paraId="5974A4B9" w14:textId="65D7A468" w:rsidR="00C87026" w:rsidRDefault="00C87026" w:rsidP="00C87026">
            <w:pPr>
              <w:pStyle w:val="BodyTextIndent"/>
              <w:jc w:val="center"/>
              <w:rPr>
                <w:b/>
                <w:bCs/>
              </w:rPr>
            </w:pPr>
            <w:r>
              <w:rPr>
                <w:b/>
                <w:bCs/>
              </w:rPr>
              <w:t>Selection Sort</w:t>
            </w:r>
          </w:p>
        </w:tc>
      </w:tr>
      <w:tr w:rsidR="00C87026" w14:paraId="77CE3170" w14:textId="77777777" w:rsidTr="00C87026">
        <w:trPr>
          <w:trHeight w:val="310"/>
          <w:jc w:val="center"/>
        </w:trPr>
        <w:tc>
          <w:tcPr>
            <w:tcW w:w="1766" w:type="dxa"/>
            <w:vAlign w:val="center"/>
          </w:tcPr>
          <w:p w14:paraId="632A1395" w14:textId="37253098" w:rsidR="00C87026" w:rsidRDefault="00C87026" w:rsidP="00C87026">
            <w:pPr>
              <w:pStyle w:val="BodyTextIndent"/>
              <w:jc w:val="center"/>
            </w:pPr>
            <w:r>
              <w:t>Female</w:t>
            </w:r>
          </w:p>
        </w:tc>
        <w:tc>
          <w:tcPr>
            <w:tcW w:w="1170" w:type="dxa"/>
            <w:vAlign w:val="center"/>
          </w:tcPr>
          <w:p w14:paraId="603E1FAE" w14:textId="5073AC7D" w:rsidR="00C87026" w:rsidRDefault="00C87026" w:rsidP="00C87026">
            <w:pPr>
              <w:pStyle w:val="BodyTextIndent"/>
              <w:jc w:val="center"/>
            </w:pPr>
            <w:r>
              <w:t>10</w:t>
            </w:r>
          </w:p>
        </w:tc>
        <w:tc>
          <w:tcPr>
            <w:tcW w:w="1078" w:type="dxa"/>
            <w:vAlign w:val="center"/>
          </w:tcPr>
          <w:p w14:paraId="4A524D46" w14:textId="098A51FB" w:rsidR="00C87026" w:rsidRDefault="00C87026" w:rsidP="00C87026">
            <w:pPr>
              <w:pStyle w:val="BodyTextIndent"/>
              <w:jc w:val="center"/>
            </w:pPr>
            <w:r>
              <w:t>19</w:t>
            </w:r>
          </w:p>
        </w:tc>
      </w:tr>
      <w:tr w:rsidR="00C87026" w14:paraId="4B7C31E3" w14:textId="77777777" w:rsidTr="00C87026">
        <w:trPr>
          <w:trHeight w:val="341"/>
          <w:jc w:val="center"/>
        </w:trPr>
        <w:tc>
          <w:tcPr>
            <w:tcW w:w="1766" w:type="dxa"/>
            <w:vAlign w:val="center"/>
          </w:tcPr>
          <w:p w14:paraId="3C4B82EF" w14:textId="010B231B" w:rsidR="00C87026" w:rsidRDefault="00C87026" w:rsidP="00C87026">
            <w:pPr>
              <w:pStyle w:val="BodyTextIndent"/>
              <w:jc w:val="center"/>
            </w:pPr>
            <w:r>
              <w:t>Male</w:t>
            </w:r>
          </w:p>
        </w:tc>
        <w:tc>
          <w:tcPr>
            <w:tcW w:w="1170" w:type="dxa"/>
            <w:vAlign w:val="center"/>
          </w:tcPr>
          <w:p w14:paraId="37EADE5F" w14:textId="14A24A2F" w:rsidR="00C87026" w:rsidRDefault="00C87026" w:rsidP="00C87026">
            <w:pPr>
              <w:pStyle w:val="BodyTextIndent"/>
              <w:jc w:val="center"/>
            </w:pPr>
            <w:r>
              <w:t>18</w:t>
            </w:r>
          </w:p>
        </w:tc>
        <w:tc>
          <w:tcPr>
            <w:tcW w:w="1078" w:type="dxa"/>
            <w:vAlign w:val="center"/>
          </w:tcPr>
          <w:p w14:paraId="4861AA4B" w14:textId="185F609B" w:rsidR="00C87026" w:rsidRDefault="00C87026" w:rsidP="00C87026">
            <w:pPr>
              <w:pStyle w:val="BodyTextIndent"/>
              <w:jc w:val="center"/>
            </w:pPr>
            <w:r>
              <w:t>25</w:t>
            </w:r>
          </w:p>
        </w:tc>
      </w:tr>
      <w:tr w:rsidR="00C87026" w14:paraId="7A44DEBB" w14:textId="77777777" w:rsidTr="00C87026">
        <w:trPr>
          <w:trHeight w:val="341"/>
          <w:jc w:val="center"/>
        </w:trPr>
        <w:tc>
          <w:tcPr>
            <w:tcW w:w="1766" w:type="dxa"/>
            <w:vAlign w:val="center"/>
          </w:tcPr>
          <w:p w14:paraId="170A6F89" w14:textId="3F219E80" w:rsidR="00C87026" w:rsidRDefault="00C87026" w:rsidP="00C87026">
            <w:pPr>
              <w:pStyle w:val="BodyTextIndent"/>
              <w:jc w:val="center"/>
            </w:pPr>
            <w:r>
              <w:t>No Response</w:t>
            </w:r>
          </w:p>
        </w:tc>
        <w:tc>
          <w:tcPr>
            <w:tcW w:w="1170" w:type="dxa"/>
            <w:vAlign w:val="center"/>
          </w:tcPr>
          <w:p w14:paraId="06659584" w14:textId="07CA7AEE" w:rsidR="00C87026" w:rsidRDefault="00C87026" w:rsidP="00C87026">
            <w:pPr>
              <w:pStyle w:val="BodyTextIndent"/>
              <w:jc w:val="center"/>
            </w:pPr>
            <w:r>
              <w:t>7</w:t>
            </w:r>
          </w:p>
        </w:tc>
        <w:tc>
          <w:tcPr>
            <w:tcW w:w="1078" w:type="dxa"/>
            <w:vAlign w:val="center"/>
          </w:tcPr>
          <w:p w14:paraId="0225AC05" w14:textId="7DDABB8C" w:rsidR="00C87026" w:rsidRDefault="00C87026" w:rsidP="00C87026">
            <w:pPr>
              <w:pStyle w:val="BodyTextIndent"/>
              <w:jc w:val="center"/>
            </w:pPr>
            <w:r>
              <w:t>9</w:t>
            </w:r>
          </w:p>
        </w:tc>
      </w:tr>
      <w:tr w:rsidR="00C87026" w14:paraId="4C0FA215" w14:textId="77777777" w:rsidTr="00C87026">
        <w:trPr>
          <w:trHeight w:val="341"/>
          <w:jc w:val="center"/>
        </w:trPr>
        <w:tc>
          <w:tcPr>
            <w:tcW w:w="1766" w:type="dxa"/>
            <w:vAlign w:val="center"/>
          </w:tcPr>
          <w:p w14:paraId="445051B8" w14:textId="0EC9CD2F" w:rsidR="00C87026" w:rsidRPr="00085596" w:rsidRDefault="00C87026" w:rsidP="00C87026">
            <w:pPr>
              <w:pStyle w:val="BodyTextIndent"/>
              <w:jc w:val="center"/>
              <w:rPr>
                <w:b/>
              </w:rPr>
            </w:pPr>
            <w:r w:rsidRPr="00085596">
              <w:rPr>
                <w:b/>
              </w:rPr>
              <w:t>Totals</w:t>
            </w:r>
          </w:p>
        </w:tc>
        <w:tc>
          <w:tcPr>
            <w:tcW w:w="1170" w:type="dxa"/>
            <w:vAlign w:val="center"/>
          </w:tcPr>
          <w:p w14:paraId="585BE8E4" w14:textId="6ED13779" w:rsidR="00C87026" w:rsidRPr="00085596" w:rsidRDefault="00C87026" w:rsidP="00C87026">
            <w:pPr>
              <w:pStyle w:val="BodyTextIndent"/>
              <w:jc w:val="center"/>
              <w:rPr>
                <w:b/>
              </w:rPr>
            </w:pPr>
            <w:r w:rsidRPr="00085596">
              <w:rPr>
                <w:b/>
              </w:rPr>
              <w:t>35</w:t>
            </w:r>
          </w:p>
        </w:tc>
        <w:tc>
          <w:tcPr>
            <w:tcW w:w="1078" w:type="dxa"/>
            <w:vAlign w:val="center"/>
          </w:tcPr>
          <w:p w14:paraId="590265FE" w14:textId="6B4A0E06" w:rsidR="00C87026" w:rsidRPr="00085596" w:rsidRDefault="00C87026" w:rsidP="00C87026">
            <w:pPr>
              <w:pStyle w:val="BodyTextIndent"/>
              <w:jc w:val="center"/>
              <w:rPr>
                <w:b/>
              </w:rPr>
            </w:pPr>
            <w:r w:rsidRPr="00085596">
              <w:rPr>
                <w:b/>
              </w:rPr>
              <w:t>53</w:t>
            </w:r>
          </w:p>
        </w:tc>
      </w:tr>
    </w:tbl>
    <w:p w14:paraId="7019E0C7" w14:textId="77777777" w:rsidR="001F4AAC" w:rsidRDefault="001F4AAC">
      <w:pPr>
        <w:pStyle w:val="BodyTextIndent"/>
      </w:pPr>
    </w:p>
    <w:p w14:paraId="245AEB46" w14:textId="37CEF06F" w:rsidR="00980393" w:rsidRDefault="00980393" w:rsidP="00980393">
      <w:pPr>
        <w:pStyle w:val="Caption"/>
        <w:keepNext/>
      </w:pPr>
      <w:r>
        <w:t xml:space="preserve">Table </w:t>
      </w:r>
      <w:fldSimple w:instr=" SEQ Table \* ARABIC ">
        <w:r>
          <w:rPr>
            <w:noProof/>
          </w:rPr>
          <w:t>3</w:t>
        </w:r>
      </w:fldSimple>
      <w:r>
        <w:t>. Course and Section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66"/>
        <w:gridCol w:w="1170"/>
        <w:gridCol w:w="1078"/>
      </w:tblGrid>
      <w:tr w:rsidR="00980393" w14:paraId="76E58534" w14:textId="77777777" w:rsidTr="002D4A77">
        <w:trPr>
          <w:trHeight w:val="310"/>
          <w:jc w:val="center"/>
        </w:trPr>
        <w:tc>
          <w:tcPr>
            <w:tcW w:w="1766" w:type="dxa"/>
            <w:vAlign w:val="center"/>
          </w:tcPr>
          <w:p w14:paraId="4F00A6AF" w14:textId="77777777" w:rsidR="00980393" w:rsidRDefault="00980393" w:rsidP="002D4A77">
            <w:pPr>
              <w:pStyle w:val="BodyTextIndent"/>
              <w:jc w:val="center"/>
              <w:rPr>
                <w:b/>
                <w:bCs/>
              </w:rPr>
            </w:pPr>
          </w:p>
        </w:tc>
        <w:tc>
          <w:tcPr>
            <w:tcW w:w="1170" w:type="dxa"/>
            <w:vAlign w:val="center"/>
          </w:tcPr>
          <w:p w14:paraId="670778A4" w14:textId="77777777" w:rsidR="00980393" w:rsidRDefault="00980393" w:rsidP="002D4A77">
            <w:pPr>
              <w:pStyle w:val="BodyTextIndent"/>
              <w:jc w:val="center"/>
              <w:rPr>
                <w:b/>
                <w:bCs/>
              </w:rPr>
            </w:pPr>
            <w:r>
              <w:rPr>
                <w:b/>
                <w:bCs/>
              </w:rPr>
              <w:t>Binary Search</w:t>
            </w:r>
          </w:p>
        </w:tc>
        <w:tc>
          <w:tcPr>
            <w:tcW w:w="1078" w:type="dxa"/>
            <w:vAlign w:val="center"/>
          </w:tcPr>
          <w:p w14:paraId="24AC0917" w14:textId="77777777" w:rsidR="00980393" w:rsidRDefault="00980393" w:rsidP="002D4A77">
            <w:pPr>
              <w:pStyle w:val="BodyTextIndent"/>
              <w:jc w:val="center"/>
              <w:rPr>
                <w:b/>
                <w:bCs/>
              </w:rPr>
            </w:pPr>
            <w:r>
              <w:rPr>
                <w:b/>
                <w:bCs/>
              </w:rPr>
              <w:t>Selection Sort</w:t>
            </w:r>
          </w:p>
        </w:tc>
      </w:tr>
      <w:tr w:rsidR="00980393" w14:paraId="36712F43" w14:textId="77777777" w:rsidTr="002D4A77">
        <w:trPr>
          <w:trHeight w:val="310"/>
          <w:jc w:val="center"/>
        </w:trPr>
        <w:tc>
          <w:tcPr>
            <w:tcW w:w="1766" w:type="dxa"/>
            <w:vAlign w:val="center"/>
          </w:tcPr>
          <w:p w14:paraId="5E341187" w14:textId="7EC18E94" w:rsidR="00980393" w:rsidRDefault="00980393" w:rsidP="002D4A77">
            <w:pPr>
              <w:pStyle w:val="BodyTextIndent"/>
              <w:jc w:val="center"/>
            </w:pPr>
            <w:r>
              <w:t>CS1-A.1</w:t>
            </w:r>
          </w:p>
        </w:tc>
        <w:tc>
          <w:tcPr>
            <w:tcW w:w="1170" w:type="dxa"/>
            <w:vAlign w:val="center"/>
          </w:tcPr>
          <w:p w14:paraId="0E9148C7" w14:textId="0FBA78B8" w:rsidR="00980393" w:rsidRDefault="00980393" w:rsidP="002D4A77">
            <w:pPr>
              <w:pStyle w:val="BodyTextIndent"/>
              <w:jc w:val="center"/>
            </w:pPr>
            <w:r>
              <w:t>0</w:t>
            </w:r>
          </w:p>
        </w:tc>
        <w:tc>
          <w:tcPr>
            <w:tcW w:w="1078" w:type="dxa"/>
            <w:vAlign w:val="center"/>
          </w:tcPr>
          <w:p w14:paraId="76A1C0DF" w14:textId="01D3824C" w:rsidR="00980393" w:rsidRDefault="00980393" w:rsidP="002D4A77">
            <w:pPr>
              <w:pStyle w:val="BodyTextIndent"/>
              <w:jc w:val="center"/>
            </w:pPr>
            <w:r>
              <w:t>11</w:t>
            </w:r>
          </w:p>
        </w:tc>
      </w:tr>
      <w:tr w:rsidR="00980393" w14:paraId="2EB575BB" w14:textId="77777777" w:rsidTr="002D4A77">
        <w:trPr>
          <w:trHeight w:val="341"/>
          <w:jc w:val="center"/>
        </w:trPr>
        <w:tc>
          <w:tcPr>
            <w:tcW w:w="1766" w:type="dxa"/>
            <w:vAlign w:val="center"/>
          </w:tcPr>
          <w:p w14:paraId="2F2EE7BF" w14:textId="1ADB03F2" w:rsidR="00980393" w:rsidRDefault="00980393" w:rsidP="002D4A77">
            <w:pPr>
              <w:pStyle w:val="BodyTextIndent"/>
              <w:jc w:val="center"/>
            </w:pPr>
            <w:r>
              <w:t>CS1-A.2</w:t>
            </w:r>
          </w:p>
        </w:tc>
        <w:tc>
          <w:tcPr>
            <w:tcW w:w="1170" w:type="dxa"/>
            <w:vAlign w:val="center"/>
          </w:tcPr>
          <w:p w14:paraId="357D4C06" w14:textId="44BEC3DF" w:rsidR="00980393" w:rsidRDefault="00980393" w:rsidP="002D4A77">
            <w:pPr>
              <w:pStyle w:val="BodyTextIndent"/>
              <w:jc w:val="center"/>
            </w:pPr>
            <w:r>
              <w:t>17</w:t>
            </w:r>
          </w:p>
        </w:tc>
        <w:tc>
          <w:tcPr>
            <w:tcW w:w="1078" w:type="dxa"/>
            <w:vAlign w:val="center"/>
          </w:tcPr>
          <w:p w14:paraId="22DA6084" w14:textId="2522F3C2" w:rsidR="00980393" w:rsidRDefault="00980393" w:rsidP="002D4A77">
            <w:pPr>
              <w:pStyle w:val="BodyTextIndent"/>
              <w:jc w:val="center"/>
            </w:pPr>
            <w:r>
              <w:t>16</w:t>
            </w:r>
          </w:p>
        </w:tc>
      </w:tr>
      <w:tr w:rsidR="00980393" w14:paraId="45749706" w14:textId="77777777" w:rsidTr="002D4A77">
        <w:trPr>
          <w:trHeight w:val="341"/>
          <w:jc w:val="center"/>
        </w:trPr>
        <w:tc>
          <w:tcPr>
            <w:tcW w:w="1766" w:type="dxa"/>
            <w:vAlign w:val="center"/>
          </w:tcPr>
          <w:p w14:paraId="02724F3E" w14:textId="728FFA7D" w:rsidR="00980393" w:rsidRDefault="00980393" w:rsidP="002D4A77">
            <w:pPr>
              <w:pStyle w:val="BodyTextIndent"/>
              <w:jc w:val="center"/>
            </w:pPr>
            <w:r>
              <w:t>CS1-A.3</w:t>
            </w:r>
          </w:p>
        </w:tc>
        <w:tc>
          <w:tcPr>
            <w:tcW w:w="1170" w:type="dxa"/>
            <w:vAlign w:val="center"/>
          </w:tcPr>
          <w:p w14:paraId="7656BBDC" w14:textId="6BA0E4AE" w:rsidR="00980393" w:rsidRDefault="00980393" w:rsidP="002D4A77">
            <w:pPr>
              <w:pStyle w:val="BodyTextIndent"/>
              <w:jc w:val="center"/>
            </w:pPr>
            <w:r>
              <w:t>12</w:t>
            </w:r>
          </w:p>
        </w:tc>
        <w:tc>
          <w:tcPr>
            <w:tcW w:w="1078" w:type="dxa"/>
            <w:vAlign w:val="center"/>
          </w:tcPr>
          <w:p w14:paraId="7871EBEB" w14:textId="284C5BEA" w:rsidR="00980393" w:rsidRDefault="00980393" w:rsidP="002D4A77">
            <w:pPr>
              <w:pStyle w:val="BodyTextIndent"/>
              <w:jc w:val="center"/>
            </w:pPr>
            <w:r>
              <w:t>1</w:t>
            </w:r>
          </w:p>
        </w:tc>
      </w:tr>
      <w:tr w:rsidR="00980393" w14:paraId="4C09BE20" w14:textId="77777777" w:rsidTr="002D4A77">
        <w:trPr>
          <w:trHeight w:val="341"/>
          <w:jc w:val="center"/>
        </w:trPr>
        <w:tc>
          <w:tcPr>
            <w:tcW w:w="1766" w:type="dxa"/>
            <w:vAlign w:val="center"/>
          </w:tcPr>
          <w:p w14:paraId="24D29660" w14:textId="7B3B27A3" w:rsidR="00980393" w:rsidRPr="00980393" w:rsidRDefault="00980393" w:rsidP="002D4A77">
            <w:pPr>
              <w:pStyle w:val="BodyTextIndent"/>
              <w:jc w:val="center"/>
            </w:pPr>
            <w:r w:rsidRPr="00980393">
              <w:t>CS1-B</w:t>
            </w:r>
          </w:p>
        </w:tc>
        <w:tc>
          <w:tcPr>
            <w:tcW w:w="1170" w:type="dxa"/>
            <w:vAlign w:val="center"/>
          </w:tcPr>
          <w:p w14:paraId="3DDFA882" w14:textId="0BC6F68E" w:rsidR="00980393" w:rsidRPr="00980393" w:rsidRDefault="00980393" w:rsidP="002D4A77">
            <w:pPr>
              <w:pStyle w:val="BodyTextIndent"/>
              <w:jc w:val="center"/>
            </w:pPr>
            <w:r w:rsidRPr="00980393">
              <w:t>6</w:t>
            </w:r>
          </w:p>
        </w:tc>
        <w:tc>
          <w:tcPr>
            <w:tcW w:w="1078" w:type="dxa"/>
            <w:vAlign w:val="center"/>
          </w:tcPr>
          <w:p w14:paraId="48504F94" w14:textId="30531768" w:rsidR="00980393" w:rsidRPr="00980393" w:rsidRDefault="00980393" w:rsidP="002D4A77">
            <w:pPr>
              <w:pStyle w:val="BodyTextIndent"/>
              <w:jc w:val="center"/>
            </w:pPr>
            <w:r w:rsidRPr="00980393">
              <w:t>15</w:t>
            </w:r>
          </w:p>
        </w:tc>
      </w:tr>
      <w:tr w:rsidR="00980393" w14:paraId="554058B0" w14:textId="77777777" w:rsidTr="002D4A77">
        <w:trPr>
          <w:trHeight w:val="341"/>
          <w:jc w:val="center"/>
        </w:trPr>
        <w:tc>
          <w:tcPr>
            <w:tcW w:w="1766" w:type="dxa"/>
            <w:vAlign w:val="center"/>
          </w:tcPr>
          <w:p w14:paraId="5DC812C5" w14:textId="20972FE8" w:rsidR="00980393" w:rsidRPr="00980393" w:rsidRDefault="00980393" w:rsidP="002D4A77">
            <w:pPr>
              <w:pStyle w:val="BodyTextIndent"/>
              <w:jc w:val="center"/>
            </w:pPr>
            <w:r w:rsidRPr="00980393">
              <w:t>CS2</w:t>
            </w:r>
          </w:p>
        </w:tc>
        <w:tc>
          <w:tcPr>
            <w:tcW w:w="1170" w:type="dxa"/>
            <w:vAlign w:val="center"/>
          </w:tcPr>
          <w:p w14:paraId="5F84EB5A" w14:textId="63159432" w:rsidR="00980393" w:rsidRPr="00980393" w:rsidRDefault="00980393" w:rsidP="002D4A77">
            <w:pPr>
              <w:pStyle w:val="BodyTextIndent"/>
              <w:jc w:val="center"/>
            </w:pPr>
            <w:r w:rsidRPr="00980393">
              <w:t>0</w:t>
            </w:r>
          </w:p>
        </w:tc>
        <w:tc>
          <w:tcPr>
            <w:tcW w:w="1078" w:type="dxa"/>
            <w:vAlign w:val="center"/>
          </w:tcPr>
          <w:p w14:paraId="0945C918" w14:textId="4DE335DA" w:rsidR="00980393" w:rsidRPr="00980393" w:rsidRDefault="00980393" w:rsidP="002D4A77">
            <w:pPr>
              <w:pStyle w:val="BodyTextIndent"/>
              <w:jc w:val="center"/>
            </w:pPr>
            <w:r w:rsidRPr="00980393">
              <w:t>10</w:t>
            </w:r>
          </w:p>
        </w:tc>
      </w:tr>
      <w:tr w:rsidR="00980393" w14:paraId="24D5D2F6" w14:textId="77777777" w:rsidTr="002D4A77">
        <w:trPr>
          <w:trHeight w:val="341"/>
          <w:jc w:val="center"/>
        </w:trPr>
        <w:tc>
          <w:tcPr>
            <w:tcW w:w="1766" w:type="dxa"/>
            <w:vAlign w:val="center"/>
          </w:tcPr>
          <w:p w14:paraId="1E64D0D2" w14:textId="3A0AE94E" w:rsidR="00980393" w:rsidRDefault="00980393" w:rsidP="002D4A77">
            <w:pPr>
              <w:pStyle w:val="BodyTextIndent"/>
              <w:jc w:val="center"/>
              <w:rPr>
                <w:b/>
              </w:rPr>
            </w:pPr>
            <w:r>
              <w:rPr>
                <w:b/>
              </w:rPr>
              <w:t>Totals</w:t>
            </w:r>
          </w:p>
        </w:tc>
        <w:tc>
          <w:tcPr>
            <w:tcW w:w="1170" w:type="dxa"/>
            <w:vAlign w:val="center"/>
          </w:tcPr>
          <w:p w14:paraId="1CABC8A8" w14:textId="4FA5292E" w:rsidR="00980393" w:rsidRDefault="00980393" w:rsidP="002D4A77">
            <w:pPr>
              <w:pStyle w:val="BodyTextIndent"/>
              <w:jc w:val="center"/>
              <w:rPr>
                <w:b/>
              </w:rPr>
            </w:pPr>
            <w:r>
              <w:rPr>
                <w:b/>
              </w:rPr>
              <w:t>35</w:t>
            </w:r>
          </w:p>
        </w:tc>
        <w:tc>
          <w:tcPr>
            <w:tcW w:w="1078" w:type="dxa"/>
            <w:vAlign w:val="center"/>
          </w:tcPr>
          <w:p w14:paraId="053D89A3" w14:textId="0E29AD5E" w:rsidR="00980393" w:rsidRDefault="00980393" w:rsidP="002D4A77">
            <w:pPr>
              <w:pStyle w:val="BodyTextIndent"/>
              <w:jc w:val="center"/>
              <w:rPr>
                <w:b/>
              </w:rPr>
            </w:pPr>
            <w:r>
              <w:rPr>
                <w:b/>
              </w:rPr>
              <w:t>53</w:t>
            </w:r>
          </w:p>
        </w:tc>
      </w:tr>
    </w:tbl>
    <w:p w14:paraId="031A55D1" w14:textId="77777777" w:rsidR="00980393" w:rsidRDefault="00980393">
      <w:pPr>
        <w:pStyle w:val="BodyTextIndent"/>
      </w:pPr>
    </w:p>
    <w:p w14:paraId="229FC7C7" w14:textId="78485B68" w:rsidR="00FC7A93" w:rsidRDefault="00FC7A93" w:rsidP="00FC7A93">
      <w:pPr>
        <w:pStyle w:val="Heading2"/>
      </w:pPr>
      <w:r>
        <w:t>Technical Knowledge</w:t>
      </w:r>
    </w:p>
    <w:p w14:paraId="41B156DF" w14:textId="508508FD" w:rsidR="00062467" w:rsidRDefault="00FC7A93" w:rsidP="006337AC">
      <w:pPr>
        <w:pStyle w:val="BodyTextIndent"/>
      </w:pPr>
      <w:r w:rsidRPr="00FC7A93">
        <w:t xml:space="preserve">Our primary technical goals for what the students would take away from the videos were 1) being able to identify the time complexity of the algorithm, 2) answer questions that require simulation of the algorithm, and 3) remember fundamental facts about the algorithm. With this in mind, we evaluated students’ </w:t>
      </w:r>
      <w:r w:rsidRPr="00FC7A93">
        <w:lastRenderedPageBreak/>
        <w:t xml:space="preserve">baseline knowledge of the algorithm in the pre survey by asking if the students were familiar with big-O notation and if they were confident coding a search or a sorting algorithm. After watching the series of videos in order we then asked one question per each of our goals in a multiple choice format where 1 of 5 possible selections was correct. </w:t>
      </w:r>
    </w:p>
    <w:p w14:paraId="028425BE" w14:textId="728523C2" w:rsidR="00062467" w:rsidRDefault="00062467" w:rsidP="006337AC">
      <w:pPr>
        <w:pStyle w:val="BodyTextIndent"/>
      </w:pPr>
      <w:r>
        <w:t xml:space="preserve">We now present a set of tables, each </w:t>
      </w:r>
      <w:r w:rsidR="00A56D21">
        <w:t>providing the student responses for the conceptual questions asked on the post-survey.</w:t>
      </w:r>
    </w:p>
    <w:p w14:paraId="68E7803C" w14:textId="217B9F46" w:rsidR="006337AC" w:rsidRDefault="00FC7A93" w:rsidP="006337AC">
      <w:pPr>
        <w:pStyle w:val="BodyTextIndent"/>
      </w:pPr>
      <w:r w:rsidRPr="00FC7A93">
        <w:t>Below we can see that students were relatively unfamiliar with big-O notation with 7% kno</w:t>
      </w:r>
      <w:r w:rsidR="006337AC">
        <w:t xml:space="preserve">wing for binary search and 15% </w:t>
      </w:r>
      <w:r w:rsidRPr="00FC7A93">
        <w:t>knowing for selection sort. However, after watching the videos students showed significant improvement in their knowledge of the algorithms: 85.7% of students were able to identify the runtime of binary search and 84.9% students were able to identify the runtime of selection sort compared to 14.9% initially. Additionally we can also see that the other questions were all answered correctly at least 80% of the time.</w:t>
      </w:r>
    </w:p>
    <w:p w14:paraId="53F9A863" w14:textId="1023FADD" w:rsidR="00536430" w:rsidRDefault="00FF7BFA" w:rsidP="00FF7BFA">
      <w:pPr>
        <w:pStyle w:val="Caption"/>
        <w:keepNext/>
      </w:pPr>
      <w:r>
        <w:t xml:space="preserve">Table </w:t>
      </w:r>
      <w:r w:rsidR="000A3BDD">
        <w:fldChar w:fldCharType="begin"/>
      </w:r>
      <w:r w:rsidR="000A3BDD">
        <w:instrText xml:space="preserve"> SEQ Table \* ARABIC </w:instrText>
      </w:r>
      <w:r w:rsidR="000A3BDD">
        <w:fldChar w:fldCharType="separate"/>
      </w:r>
      <w:r>
        <w:rPr>
          <w:noProof/>
        </w:rPr>
        <w:t>4</w:t>
      </w:r>
      <w:r w:rsidR="000A3BDD">
        <w:rPr>
          <w:noProof/>
        </w:rPr>
        <w:fldChar w:fldCharType="end"/>
      </w:r>
      <w:r>
        <w:t>. What is the time complexity of binary search?</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6337AC" w14:paraId="336CF213" w14:textId="77777777" w:rsidTr="00F025FD">
        <w:trPr>
          <w:trHeight w:val="310"/>
          <w:jc w:val="center"/>
        </w:trPr>
        <w:tc>
          <w:tcPr>
            <w:tcW w:w="3473" w:type="dxa"/>
            <w:vAlign w:val="center"/>
          </w:tcPr>
          <w:p w14:paraId="40F71700" w14:textId="236A3D4B" w:rsidR="006337AC" w:rsidRDefault="006337AC" w:rsidP="00965A66">
            <w:pPr>
              <w:pStyle w:val="BodyTextIndent"/>
              <w:jc w:val="left"/>
            </w:pPr>
            <w:r>
              <w:t>O(2)</w:t>
            </w:r>
          </w:p>
        </w:tc>
        <w:tc>
          <w:tcPr>
            <w:tcW w:w="715" w:type="dxa"/>
            <w:vAlign w:val="center"/>
          </w:tcPr>
          <w:p w14:paraId="623A3284" w14:textId="45FB25AF" w:rsidR="006337AC" w:rsidRDefault="006337AC" w:rsidP="00536430">
            <w:pPr>
              <w:pStyle w:val="BodyTextIndent"/>
              <w:jc w:val="center"/>
            </w:pPr>
            <w:r>
              <w:t>0</w:t>
            </w:r>
          </w:p>
        </w:tc>
      </w:tr>
      <w:tr w:rsidR="006337AC" w14:paraId="753EFC99" w14:textId="77777777" w:rsidTr="00F025FD">
        <w:trPr>
          <w:trHeight w:val="341"/>
          <w:jc w:val="center"/>
        </w:trPr>
        <w:tc>
          <w:tcPr>
            <w:tcW w:w="3473" w:type="dxa"/>
            <w:vAlign w:val="center"/>
          </w:tcPr>
          <w:p w14:paraId="758F85A9" w14:textId="59BD3D2C" w:rsidR="006337AC" w:rsidRDefault="006337AC" w:rsidP="00965A66">
            <w:pPr>
              <w:pStyle w:val="BodyTextIndent"/>
              <w:jc w:val="left"/>
            </w:pPr>
            <w:r>
              <w:t>O(log n)</w:t>
            </w:r>
          </w:p>
        </w:tc>
        <w:tc>
          <w:tcPr>
            <w:tcW w:w="715" w:type="dxa"/>
            <w:vAlign w:val="center"/>
          </w:tcPr>
          <w:p w14:paraId="1E079E88" w14:textId="038657FB" w:rsidR="006337AC" w:rsidRDefault="006337AC" w:rsidP="00536430">
            <w:pPr>
              <w:pStyle w:val="BodyTextIndent"/>
              <w:jc w:val="center"/>
            </w:pPr>
            <w:r>
              <w:t>30</w:t>
            </w:r>
          </w:p>
        </w:tc>
      </w:tr>
      <w:tr w:rsidR="006337AC" w14:paraId="4D4D8E61" w14:textId="77777777" w:rsidTr="00F025FD">
        <w:trPr>
          <w:trHeight w:val="341"/>
          <w:jc w:val="center"/>
        </w:trPr>
        <w:tc>
          <w:tcPr>
            <w:tcW w:w="3473" w:type="dxa"/>
            <w:vAlign w:val="center"/>
          </w:tcPr>
          <w:p w14:paraId="0C6D6DF3" w14:textId="524729F1" w:rsidR="006337AC" w:rsidRDefault="006337AC" w:rsidP="00965A66">
            <w:pPr>
              <w:pStyle w:val="BodyTextIndent"/>
              <w:jc w:val="left"/>
            </w:pPr>
            <w:r>
              <w:t>O(2n)</w:t>
            </w:r>
          </w:p>
        </w:tc>
        <w:tc>
          <w:tcPr>
            <w:tcW w:w="715" w:type="dxa"/>
            <w:vAlign w:val="center"/>
          </w:tcPr>
          <w:p w14:paraId="5D1FBA33" w14:textId="7C5D26DB" w:rsidR="006337AC" w:rsidRDefault="006337AC" w:rsidP="00536430">
            <w:pPr>
              <w:pStyle w:val="BodyTextIndent"/>
              <w:jc w:val="center"/>
            </w:pPr>
            <w:r>
              <w:t>0</w:t>
            </w:r>
          </w:p>
        </w:tc>
      </w:tr>
      <w:tr w:rsidR="006337AC" w14:paraId="64683832" w14:textId="77777777" w:rsidTr="00F025FD">
        <w:trPr>
          <w:trHeight w:val="341"/>
          <w:jc w:val="center"/>
        </w:trPr>
        <w:tc>
          <w:tcPr>
            <w:tcW w:w="3473" w:type="dxa"/>
            <w:vAlign w:val="center"/>
          </w:tcPr>
          <w:p w14:paraId="335BFEB3" w14:textId="79FE85A0" w:rsidR="006337AC" w:rsidRPr="00980393" w:rsidRDefault="006337AC" w:rsidP="00965A66">
            <w:pPr>
              <w:pStyle w:val="BodyTextIndent"/>
              <w:jc w:val="left"/>
            </w:pPr>
            <w:r>
              <w:t>O(n</w:t>
            </w:r>
            <w:r w:rsidRPr="006337AC">
              <w:rPr>
                <w:vertAlign w:val="superscript"/>
              </w:rPr>
              <w:t>2</w:t>
            </w:r>
            <w:r>
              <w:t>)</w:t>
            </w:r>
          </w:p>
        </w:tc>
        <w:tc>
          <w:tcPr>
            <w:tcW w:w="715" w:type="dxa"/>
            <w:vAlign w:val="center"/>
          </w:tcPr>
          <w:p w14:paraId="6B46DC3C" w14:textId="5D55EDBF" w:rsidR="006337AC" w:rsidRPr="00980393" w:rsidRDefault="006337AC" w:rsidP="00536430">
            <w:pPr>
              <w:pStyle w:val="BodyTextIndent"/>
              <w:jc w:val="center"/>
            </w:pPr>
            <w:r>
              <w:t>3</w:t>
            </w:r>
          </w:p>
        </w:tc>
      </w:tr>
      <w:tr w:rsidR="006337AC" w14:paraId="2DF07148" w14:textId="77777777" w:rsidTr="00F025FD">
        <w:trPr>
          <w:trHeight w:val="341"/>
          <w:jc w:val="center"/>
        </w:trPr>
        <w:tc>
          <w:tcPr>
            <w:tcW w:w="3473" w:type="dxa"/>
            <w:vAlign w:val="center"/>
          </w:tcPr>
          <w:p w14:paraId="0D40CCB4" w14:textId="2E051BCD" w:rsidR="006337AC" w:rsidRPr="00980393" w:rsidRDefault="006337AC" w:rsidP="00965A66">
            <w:pPr>
              <w:pStyle w:val="BodyTextIndent"/>
              <w:jc w:val="left"/>
            </w:pPr>
            <w:r>
              <w:t>O(2n!)</w:t>
            </w:r>
          </w:p>
        </w:tc>
        <w:tc>
          <w:tcPr>
            <w:tcW w:w="715" w:type="dxa"/>
            <w:vAlign w:val="center"/>
          </w:tcPr>
          <w:p w14:paraId="09F9D682" w14:textId="7D0E714B" w:rsidR="006337AC" w:rsidRPr="00980393" w:rsidRDefault="006337AC" w:rsidP="00536430">
            <w:pPr>
              <w:pStyle w:val="BodyTextIndent"/>
              <w:jc w:val="center"/>
            </w:pPr>
            <w:r>
              <w:t>0</w:t>
            </w:r>
          </w:p>
        </w:tc>
      </w:tr>
      <w:tr w:rsidR="006337AC" w14:paraId="5C8581E8" w14:textId="77777777" w:rsidTr="00F025FD">
        <w:trPr>
          <w:trHeight w:val="341"/>
          <w:jc w:val="center"/>
        </w:trPr>
        <w:tc>
          <w:tcPr>
            <w:tcW w:w="3473" w:type="dxa"/>
            <w:vAlign w:val="center"/>
          </w:tcPr>
          <w:p w14:paraId="7C369CD6" w14:textId="57AB809A" w:rsidR="006337AC" w:rsidRPr="006337AC" w:rsidRDefault="006337AC" w:rsidP="00965A66">
            <w:pPr>
              <w:pStyle w:val="BodyTextIndent"/>
              <w:jc w:val="left"/>
            </w:pPr>
            <w:r>
              <w:t>I don’t know</w:t>
            </w:r>
          </w:p>
        </w:tc>
        <w:tc>
          <w:tcPr>
            <w:tcW w:w="715" w:type="dxa"/>
            <w:vAlign w:val="center"/>
          </w:tcPr>
          <w:p w14:paraId="562BBB19" w14:textId="386D643E" w:rsidR="006337AC" w:rsidRPr="006337AC" w:rsidRDefault="006337AC" w:rsidP="00536430">
            <w:pPr>
              <w:pStyle w:val="BodyTextIndent"/>
              <w:jc w:val="center"/>
            </w:pPr>
            <w:r>
              <w:t>2</w:t>
            </w:r>
          </w:p>
        </w:tc>
      </w:tr>
    </w:tbl>
    <w:p w14:paraId="6192439C" w14:textId="3D0FBC15" w:rsidR="00536430" w:rsidRDefault="00536430" w:rsidP="00FC7A93">
      <w:pPr>
        <w:pStyle w:val="BodyTextIndent"/>
      </w:pPr>
    </w:p>
    <w:p w14:paraId="78BD6BDF" w14:textId="17AA9902" w:rsidR="00FF7BFA" w:rsidRDefault="00FF7BFA" w:rsidP="00FF7BFA">
      <w:pPr>
        <w:pStyle w:val="Caption"/>
        <w:keepNext/>
      </w:pPr>
      <w:r>
        <w:t xml:space="preserve">Table </w:t>
      </w:r>
      <w:r w:rsidR="000A3BDD">
        <w:fldChar w:fldCharType="begin"/>
      </w:r>
      <w:r w:rsidR="000A3BDD">
        <w:instrText xml:space="preserve"> SEQ Table \* ARABIC </w:instrText>
      </w:r>
      <w:r w:rsidR="000A3BDD">
        <w:fldChar w:fldCharType="separate"/>
      </w:r>
      <w:r>
        <w:rPr>
          <w:noProof/>
        </w:rPr>
        <w:t>5</w:t>
      </w:r>
      <w:r w:rsidR="000A3BDD">
        <w:rPr>
          <w:noProof/>
        </w:rPr>
        <w:fldChar w:fldCharType="end"/>
      </w:r>
      <w:r>
        <w:t xml:space="preserve">. </w:t>
      </w:r>
      <w:r w:rsidRPr="00FF7BFA">
        <w:t>In binary search, if the value at the mid position is less than the key (e.g., say your key was 9 and the value at the middle position is 5)</w:t>
      </w:r>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0C6668" w14:paraId="7BD0CC7A" w14:textId="77777777" w:rsidTr="00460B48">
        <w:trPr>
          <w:trHeight w:val="310"/>
          <w:jc w:val="center"/>
        </w:trPr>
        <w:tc>
          <w:tcPr>
            <w:tcW w:w="3473" w:type="dxa"/>
            <w:vAlign w:val="center"/>
          </w:tcPr>
          <w:p w14:paraId="2E7E8891" w14:textId="0B2FF12A" w:rsidR="000C6668" w:rsidRDefault="000C6668" w:rsidP="00E87FB0">
            <w:pPr>
              <w:pStyle w:val="BodyTextIndent"/>
              <w:jc w:val="left"/>
            </w:pPr>
            <w:r w:rsidRPr="00FF7BFA">
              <w:t>You've found the key so return the mid index</w:t>
            </w:r>
            <w:r>
              <w:t xml:space="preserve"> </w:t>
            </w:r>
          </w:p>
        </w:tc>
        <w:tc>
          <w:tcPr>
            <w:tcW w:w="715" w:type="dxa"/>
            <w:vAlign w:val="center"/>
          </w:tcPr>
          <w:p w14:paraId="4749F88B" w14:textId="3EAB748E" w:rsidR="000C6668" w:rsidRDefault="000C6668" w:rsidP="00460B48">
            <w:pPr>
              <w:pStyle w:val="BodyTextIndent"/>
              <w:jc w:val="center"/>
            </w:pPr>
            <w:r w:rsidRPr="00055BC2">
              <w:t>0</w:t>
            </w:r>
          </w:p>
        </w:tc>
      </w:tr>
      <w:tr w:rsidR="000C6668" w14:paraId="6B87FBE8" w14:textId="77777777" w:rsidTr="00460B48">
        <w:trPr>
          <w:trHeight w:val="341"/>
          <w:jc w:val="center"/>
        </w:trPr>
        <w:tc>
          <w:tcPr>
            <w:tcW w:w="3473" w:type="dxa"/>
            <w:vAlign w:val="center"/>
          </w:tcPr>
          <w:p w14:paraId="14415850" w14:textId="3E09B65A" w:rsidR="000C6668" w:rsidRDefault="000C6668" w:rsidP="00E87FB0">
            <w:pPr>
              <w:pStyle w:val="BodyTextIndent"/>
              <w:jc w:val="left"/>
            </w:pPr>
            <w:r w:rsidRPr="00FF7BFA">
              <w:t>This must mean that the key does not exist in the list.</w:t>
            </w:r>
          </w:p>
        </w:tc>
        <w:tc>
          <w:tcPr>
            <w:tcW w:w="715" w:type="dxa"/>
            <w:vAlign w:val="center"/>
          </w:tcPr>
          <w:p w14:paraId="29E5AF6F" w14:textId="5C97192C" w:rsidR="000C6668" w:rsidRDefault="000C6668" w:rsidP="00460B48">
            <w:pPr>
              <w:pStyle w:val="BodyTextIndent"/>
              <w:jc w:val="center"/>
            </w:pPr>
            <w:r w:rsidRPr="00055BC2">
              <w:t>1</w:t>
            </w:r>
          </w:p>
        </w:tc>
      </w:tr>
      <w:tr w:rsidR="000C6668" w14:paraId="63B2B32E" w14:textId="77777777" w:rsidTr="00460B48">
        <w:trPr>
          <w:trHeight w:val="341"/>
          <w:jc w:val="center"/>
        </w:trPr>
        <w:tc>
          <w:tcPr>
            <w:tcW w:w="3473" w:type="dxa"/>
            <w:vAlign w:val="center"/>
          </w:tcPr>
          <w:p w14:paraId="5AD7D12A" w14:textId="08250D7F" w:rsidR="000C6668" w:rsidRDefault="000C6668" w:rsidP="00E87FB0">
            <w:pPr>
              <w:pStyle w:val="BodyTextIndent"/>
              <w:jc w:val="left"/>
            </w:pPr>
            <w:r w:rsidRPr="00FF7BFA">
              <w:t>Set low to mid+1 and let the high position be.</w:t>
            </w:r>
          </w:p>
        </w:tc>
        <w:tc>
          <w:tcPr>
            <w:tcW w:w="715" w:type="dxa"/>
            <w:vAlign w:val="center"/>
          </w:tcPr>
          <w:p w14:paraId="24802907" w14:textId="3F5B8D4F" w:rsidR="000C6668" w:rsidRDefault="000C6668" w:rsidP="00460B48">
            <w:pPr>
              <w:pStyle w:val="BodyTextIndent"/>
              <w:jc w:val="center"/>
            </w:pPr>
            <w:r w:rsidRPr="00055BC2">
              <w:t>29</w:t>
            </w:r>
          </w:p>
        </w:tc>
      </w:tr>
      <w:tr w:rsidR="000C6668" w14:paraId="080C9306" w14:textId="77777777" w:rsidTr="00460B48">
        <w:trPr>
          <w:trHeight w:val="341"/>
          <w:jc w:val="center"/>
        </w:trPr>
        <w:tc>
          <w:tcPr>
            <w:tcW w:w="3473" w:type="dxa"/>
            <w:vAlign w:val="center"/>
          </w:tcPr>
          <w:p w14:paraId="5990CA0B" w14:textId="502ED7BC" w:rsidR="000C6668" w:rsidRPr="00980393" w:rsidRDefault="000C6668" w:rsidP="00E87FB0">
            <w:pPr>
              <w:pStyle w:val="BodyTextIndent"/>
              <w:jc w:val="left"/>
            </w:pPr>
            <w:r w:rsidRPr="00E87FB0">
              <w:t>Set high to mid-1 and let the low position be.</w:t>
            </w:r>
          </w:p>
        </w:tc>
        <w:tc>
          <w:tcPr>
            <w:tcW w:w="715" w:type="dxa"/>
            <w:vAlign w:val="center"/>
          </w:tcPr>
          <w:p w14:paraId="22A3FC23" w14:textId="27C97292" w:rsidR="000C6668" w:rsidRPr="00980393" w:rsidRDefault="000C6668" w:rsidP="00460B48">
            <w:pPr>
              <w:pStyle w:val="BodyTextIndent"/>
              <w:jc w:val="center"/>
            </w:pPr>
            <w:r w:rsidRPr="00055BC2">
              <w:t>5</w:t>
            </w:r>
          </w:p>
        </w:tc>
      </w:tr>
      <w:tr w:rsidR="000C6668" w14:paraId="244412EE" w14:textId="77777777" w:rsidTr="00460B48">
        <w:trPr>
          <w:trHeight w:val="341"/>
          <w:jc w:val="center"/>
        </w:trPr>
        <w:tc>
          <w:tcPr>
            <w:tcW w:w="3473" w:type="dxa"/>
            <w:vAlign w:val="center"/>
          </w:tcPr>
          <w:p w14:paraId="65710B85" w14:textId="57C34CB7" w:rsidR="000C6668" w:rsidRPr="00980393" w:rsidRDefault="000C6668" w:rsidP="00E87FB0">
            <w:pPr>
              <w:pStyle w:val="BodyTextIndent"/>
              <w:jc w:val="left"/>
            </w:pPr>
            <w:r w:rsidRPr="00160300">
              <w:t>This cannot possibly happen</w:t>
            </w:r>
          </w:p>
        </w:tc>
        <w:tc>
          <w:tcPr>
            <w:tcW w:w="715" w:type="dxa"/>
            <w:vAlign w:val="center"/>
          </w:tcPr>
          <w:p w14:paraId="3CD3CBF4" w14:textId="21D3C7E3" w:rsidR="000C6668" w:rsidRPr="00980393" w:rsidRDefault="000C6668" w:rsidP="00460B48">
            <w:pPr>
              <w:pStyle w:val="BodyTextIndent"/>
              <w:jc w:val="center"/>
            </w:pPr>
            <w:r w:rsidRPr="00055BC2">
              <w:t>0</w:t>
            </w:r>
          </w:p>
        </w:tc>
      </w:tr>
    </w:tbl>
    <w:p w14:paraId="62A89733" w14:textId="76D57AC7" w:rsidR="00FF7BFA" w:rsidRDefault="00FF7BFA" w:rsidP="00FC7A93">
      <w:pPr>
        <w:pStyle w:val="BodyTextIndent"/>
      </w:pPr>
    </w:p>
    <w:p w14:paraId="0D16A4DA" w14:textId="62DCC2DA" w:rsidR="00FA3929" w:rsidRDefault="00FA3929" w:rsidP="00FA3929">
      <w:pPr>
        <w:pStyle w:val="Caption"/>
        <w:keepNext/>
      </w:pPr>
      <w:r>
        <w:t xml:space="preserve">Table </w:t>
      </w:r>
      <w:r w:rsidR="000A3BDD">
        <w:fldChar w:fldCharType="begin"/>
      </w:r>
      <w:r w:rsidR="000A3BDD">
        <w:instrText xml:space="preserve"> SEQ Table \* ARABIC </w:instrText>
      </w:r>
      <w:r w:rsidR="000A3BDD">
        <w:fldChar w:fldCharType="separate"/>
      </w:r>
      <w:r>
        <w:rPr>
          <w:noProof/>
        </w:rPr>
        <w:t>6</w:t>
      </w:r>
      <w:r w:rsidR="000A3BDD">
        <w:rPr>
          <w:noProof/>
        </w:rPr>
        <w:fldChar w:fldCharType="end"/>
      </w:r>
      <w:r>
        <w:t xml:space="preserve">. </w:t>
      </w:r>
      <w:r w:rsidR="00AA3AEA" w:rsidRPr="00AA3AEA">
        <w:t>Which statement is true about the binary search algorithm?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0C6668" w14:paraId="4B69315E" w14:textId="77777777" w:rsidTr="00460B48">
        <w:trPr>
          <w:trHeight w:val="310"/>
          <w:jc w:val="center"/>
        </w:trPr>
        <w:tc>
          <w:tcPr>
            <w:tcW w:w="3473" w:type="dxa"/>
            <w:vAlign w:val="center"/>
          </w:tcPr>
          <w:p w14:paraId="38BEE975" w14:textId="579D8FD0" w:rsidR="000C6668" w:rsidRDefault="000C6668" w:rsidP="00FA3929">
            <w:pPr>
              <w:pStyle w:val="BodyTextIndent"/>
              <w:jc w:val="left"/>
            </w:pPr>
            <w:r w:rsidRPr="000C6668">
              <w:t>It is better than linear search in all cases</w:t>
            </w:r>
          </w:p>
        </w:tc>
        <w:tc>
          <w:tcPr>
            <w:tcW w:w="715" w:type="dxa"/>
            <w:vAlign w:val="center"/>
          </w:tcPr>
          <w:p w14:paraId="0F0EF211" w14:textId="2E2A60AE" w:rsidR="000C6668" w:rsidRDefault="000C6668" w:rsidP="00460B48">
            <w:pPr>
              <w:pStyle w:val="BodyTextIndent"/>
              <w:jc w:val="center"/>
            </w:pPr>
            <w:r w:rsidRPr="00733516">
              <w:t>4</w:t>
            </w:r>
          </w:p>
        </w:tc>
      </w:tr>
      <w:tr w:rsidR="000C6668" w14:paraId="741EC8BE" w14:textId="77777777" w:rsidTr="00460B48">
        <w:trPr>
          <w:trHeight w:val="341"/>
          <w:jc w:val="center"/>
        </w:trPr>
        <w:tc>
          <w:tcPr>
            <w:tcW w:w="3473" w:type="dxa"/>
          </w:tcPr>
          <w:p w14:paraId="1D97D006" w14:textId="6684DE2C" w:rsidR="000C6668" w:rsidRDefault="000C6668" w:rsidP="00FA3929">
            <w:pPr>
              <w:pStyle w:val="BodyTextIndent"/>
              <w:jc w:val="left"/>
            </w:pPr>
            <w:r w:rsidRPr="00AB4ECB">
              <w:t>It cuts the list in half until it finds the key's place.</w:t>
            </w:r>
          </w:p>
        </w:tc>
        <w:tc>
          <w:tcPr>
            <w:tcW w:w="715" w:type="dxa"/>
            <w:vAlign w:val="center"/>
          </w:tcPr>
          <w:p w14:paraId="641426BB" w14:textId="68359581" w:rsidR="000C6668" w:rsidRDefault="000C6668" w:rsidP="00460B48">
            <w:pPr>
              <w:pStyle w:val="BodyTextIndent"/>
              <w:jc w:val="center"/>
            </w:pPr>
            <w:r w:rsidRPr="00733516">
              <w:t>28</w:t>
            </w:r>
          </w:p>
        </w:tc>
      </w:tr>
      <w:tr w:rsidR="000C6668" w14:paraId="3811D935" w14:textId="77777777" w:rsidTr="00460B48">
        <w:trPr>
          <w:trHeight w:val="341"/>
          <w:jc w:val="center"/>
        </w:trPr>
        <w:tc>
          <w:tcPr>
            <w:tcW w:w="3473" w:type="dxa"/>
          </w:tcPr>
          <w:p w14:paraId="5C08280B" w14:textId="0D37BFF2" w:rsidR="000C6668" w:rsidRDefault="000C6668" w:rsidP="00FA3929">
            <w:pPr>
              <w:pStyle w:val="BodyTextIndent"/>
              <w:jc w:val="left"/>
            </w:pPr>
            <w:r w:rsidRPr="00AB4ECB">
              <w:t>The list does not need to be sorted for it to work properly.</w:t>
            </w:r>
          </w:p>
        </w:tc>
        <w:tc>
          <w:tcPr>
            <w:tcW w:w="715" w:type="dxa"/>
            <w:vAlign w:val="center"/>
          </w:tcPr>
          <w:p w14:paraId="3FF51420" w14:textId="4B408139" w:rsidR="000C6668" w:rsidRDefault="000C6668" w:rsidP="00460B48">
            <w:pPr>
              <w:pStyle w:val="BodyTextIndent"/>
              <w:jc w:val="center"/>
            </w:pPr>
            <w:r w:rsidRPr="00733516">
              <w:t>1</w:t>
            </w:r>
          </w:p>
        </w:tc>
      </w:tr>
      <w:tr w:rsidR="000C6668" w14:paraId="2250C6ED" w14:textId="77777777" w:rsidTr="00460B48">
        <w:trPr>
          <w:trHeight w:val="341"/>
          <w:jc w:val="center"/>
        </w:trPr>
        <w:tc>
          <w:tcPr>
            <w:tcW w:w="3473" w:type="dxa"/>
          </w:tcPr>
          <w:p w14:paraId="1FC687F8" w14:textId="4D6B1C90" w:rsidR="000C6668" w:rsidRPr="00980393" w:rsidRDefault="000C6668" w:rsidP="00FA3929">
            <w:pPr>
              <w:pStyle w:val="BodyTextIndent"/>
              <w:jc w:val="left"/>
            </w:pPr>
            <w:r w:rsidRPr="00AB4ECB">
              <w:t>When the low index passes the high index, it has found the right key.</w:t>
            </w:r>
          </w:p>
        </w:tc>
        <w:tc>
          <w:tcPr>
            <w:tcW w:w="715" w:type="dxa"/>
            <w:vAlign w:val="center"/>
          </w:tcPr>
          <w:p w14:paraId="1E5AF409" w14:textId="12D24756" w:rsidR="000C6668" w:rsidRPr="00980393" w:rsidRDefault="000C6668" w:rsidP="00460B48">
            <w:pPr>
              <w:pStyle w:val="BodyTextIndent"/>
              <w:jc w:val="center"/>
            </w:pPr>
            <w:r w:rsidRPr="00733516">
              <w:t>2</w:t>
            </w:r>
          </w:p>
        </w:tc>
      </w:tr>
      <w:tr w:rsidR="000C6668" w14:paraId="7D7FA359" w14:textId="77777777" w:rsidTr="00460B48">
        <w:trPr>
          <w:trHeight w:val="341"/>
          <w:jc w:val="center"/>
        </w:trPr>
        <w:tc>
          <w:tcPr>
            <w:tcW w:w="3473" w:type="dxa"/>
          </w:tcPr>
          <w:p w14:paraId="0FEC3AC8" w14:textId="56DDF71C" w:rsidR="000C6668" w:rsidRPr="00980393" w:rsidRDefault="000C6668" w:rsidP="00FA3929">
            <w:pPr>
              <w:pStyle w:val="BodyTextIndent"/>
              <w:jc w:val="left"/>
            </w:pPr>
            <w:r w:rsidRPr="00AB4ECB">
              <w:t>It is used to sort a list of values.</w:t>
            </w:r>
          </w:p>
        </w:tc>
        <w:tc>
          <w:tcPr>
            <w:tcW w:w="715" w:type="dxa"/>
            <w:vAlign w:val="center"/>
          </w:tcPr>
          <w:p w14:paraId="7497C579" w14:textId="3F2B36C8" w:rsidR="000C6668" w:rsidRPr="00980393" w:rsidRDefault="000C6668" w:rsidP="00460B48">
            <w:pPr>
              <w:pStyle w:val="BodyTextIndent"/>
              <w:jc w:val="center"/>
            </w:pPr>
            <w:r w:rsidRPr="00733516">
              <w:t>0</w:t>
            </w:r>
          </w:p>
        </w:tc>
      </w:tr>
    </w:tbl>
    <w:p w14:paraId="3E16D5D8" w14:textId="2C45895B" w:rsidR="00FA3929" w:rsidRDefault="00FA3929" w:rsidP="00FC7A93">
      <w:pPr>
        <w:pStyle w:val="BodyTextIndent"/>
      </w:pPr>
    </w:p>
    <w:p w14:paraId="557469EE" w14:textId="396E5565" w:rsidR="003C2D4E" w:rsidRDefault="003C2D4E" w:rsidP="00FC7A93">
      <w:pPr>
        <w:pStyle w:val="BodyTextIndent"/>
      </w:pPr>
    </w:p>
    <w:p w14:paraId="6E10BD3A" w14:textId="77777777" w:rsidR="003C2D4E" w:rsidRDefault="003C2D4E" w:rsidP="00FC7A93">
      <w:pPr>
        <w:pStyle w:val="BodyTextIndent"/>
      </w:pPr>
    </w:p>
    <w:p w14:paraId="13385E3F" w14:textId="77777777" w:rsidR="003C2D4E" w:rsidRDefault="003C2D4E" w:rsidP="00FC7A93">
      <w:pPr>
        <w:pStyle w:val="BodyTextIndent"/>
      </w:pPr>
    </w:p>
    <w:p w14:paraId="74845A3F" w14:textId="6A76D8E5" w:rsidR="003C2D4E" w:rsidRDefault="003C2D4E" w:rsidP="00FC7A93">
      <w:pPr>
        <w:pStyle w:val="BodyTextIndent"/>
      </w:pPr>
    </w:p>
    <w:p w14:paraId="163F09B5" w14:textId="08481D00" w:rsidR="00891714" w:rsidRDefault="00891714" w:rsidP="00891714">
      <w:pPr>
        <w:pStyle w:val="Caption"/>
        <w:keepNext/>
      </w:pPr>
      <w:r>
        <w:t xml:space="preserve">Table </w:t>
      </w:r>
      <w:r w:rsidR="000A3BDD">
        <w:fldChar w:fldCharType="begin"/>
      </w:r>
      <w:r w:rsidR="000A3BDD">
        <w:instrText xml:space="preserve"> SEQ Table \* ARABIC </w:instrText>
      </w:r>
      <w:r w:rsidR="000A3BDD">
        <w:fldChar w:fldCharType="separate"/>
      </w:r>
      <w:r>
        <w:rPr>
          <w:noProof/>
        </w:rPr>
        <w:t>7</w:t>
      </w:r>
      <w:r w:rsidR="000A3BDD">
        <w:rPr>
          <w:noProof/>
        </w:rPr>
        <w:fldChar w:fldCharType="end"/>
      </w:r>
      <w:r>
        <w:t>. What is the time complexity of selection sort</w:t>
      </w:r>
      <w:r w:rsidRPr="00AA3AEA">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891714" w14:paraId="0D12A0F3" w14:textId="77777777" w:rsidTr="00460B48">
        <w:trPr>
          <w:trHeight w:val="310"/>
          <w:jc w:val="center"/>
        </w:trPr>
        <w:tc>
          <w:tcPr>
            <w:tcW w:w="3473" w:type="dxa"/>
            <w:vAlign w:val="center"/>
          </w:tcPr>
          <w:p w14:paraId="0B643322" w14:textId="34FC4779" w:rsidR="00891714" w:rsidRDefault="00891714" w:rsidP="00062467">
            <w:pPr>
              <w:pStyle w:val="BodyTextIndent"/>
              <w:jc w:val="left"/>
            </w:pPr>
            <w:r>
              <w:t>O(1)</w:t>
            </w:r>
          </w:p>
        </w:tc>
        <w:tc>
          <w:tcPr>
            <w:tcW w:w="715" w:type="dxa"/>
            <w:vAlign w:val="center"/>
          </w:tcPr>
          <w:p w14:paraId="1E0A52AE" w14:textId="6016A9D6" w:rsidR="00891714" w:rsidRDefault="00891714" w:rsidP="00460B48">
            <w:pPr>
              <w:pStyle w:val="BodyTextIndent"/>
              <w:jc w:val="center"/>
            </w:pPr>
            <w:r>
              <w:t>3</w:t>
            </w:r>
          </w:p>
        </w:tc>
      </w:tr>
      <w:tr w:rsidR="00891714" w14:paraId="65538B09" w14:textId="77777777" w:rsidTr="00460B48">
        <w:trPr>
          <w:trHeight w:val="341"/>
          <w:jc w:val="center"/>
        </w:trPr>
        <w:tc>
          <w:tcPr>
            <w:tcW w:w="3473" w:type="dxa"/>
          </w:tcPr>
          <w:p w14:paraId="1EB5458C" w14:textId="68B837DE" w:rsidR="00891714" w:rsidRDefault="00891714" w:rsidP="00062467">
            <w:pPr>
              <w:pStyle w:val="BodyTextIndent"/>
              <w:jc w:val="left"/>
            </w:pPr>
            <w:r>
              <w:t>O(log n)</w:t>
            </w:r>
          </w:p>
        </w:tc>
        <w:tc>
          <w:tcPr>
            <w:tcW w:w="715" w:type="dxa"/>
            <w:vAlign w:val="center"/>
          </w:tcPr>
          <w:p w14:paraId="2B39D956" w14:textId="19A33345" w:rsidR="00891714" w:rsidRDefault="00891714" w:rsidP="00460B48">
            <w:pPr>
              <w:pStyle w:val="BodyTextIndent"/>
              <w:jc w:val="center"/>
            </w:pPr>
            <w:r>
              <w:t>3</w:t>
            </w:r>
          </w:p>
        </w:tc>
      </w:tr>
      <w:tr w:rsidR="00891714" w14:paraId="48390AF3" w14:textId="77777777" w:rsidTr="00460B48">
        <w:trPr>
          <w:trHeight w:val="341"/>
          <w:jc w:val="center"/>
        </w:trPr>
        <w:tc>
          <w:tcPr>
            <w:tcW w:w="3473" w:type="dxa"/>
          </w:tcPr>
          <w:p w14:paraId="5109CD75" w14:textId="095BCC72" w:rsidR="00891714" w:rsidRDefault="00891714" w:rsidP="00062467">
            <w:pPr>
              <w:pStyle w:val="BodyTextIndent"/>
              <w:jc w:val="left"/>
            </w:pPr>
            <w:r>
              <w:t>O(n)</w:t>
            </w:r>
          </w:p>
        </w:tc>
        <w:tc>
          <w:tcPr>
            <w:tcW w:w="715" w:type="dxa"/>
            <w:vAlign w:val="center"/>
          </w:tcPr>
          <w:p w14:paraId="001BDEA5" w14:textId="35AFF5DC" w:rsidR="00891714" w:rsidRDefault="00891714" w:rsidP="00460B48">
            <w:pPr>
              <w:pStyle w:val="BodyTextIndent"/>
              <w:jc w:val="center"/>
            </w:pPr>
            <w:r>
              <w:t>2</w:t>
            </w:r>
          </w:p>
        </w:tc>
      </w:tr>
      <w:tr w:rsidR="00891714" w14:paraId="691FB4F2" w14:textId="77777777" w:rsidTr="00460B48">
        <w:trPr>
          <w:trHeight w:val="341"/>
          <w:jc w:val="center"/>
        </w:trPr>
        <w:tc>
          <w:tcPr>
            <w:tcW w:w="3473" w:type="dxa"/>
          </w:tcPr>
          <w:p w14:paraId="4F65F028" w14:textId="210E5DD3" w:rsidR="00891714" w:rsidRPr="00980393" w:rsidRDefault="00891714" w:rsidP="00062467">
            <w:pPr>
              <w:pStyle w:val="BodyTextIndent"/>
              <w:jc w:val="left"/>
            </w:pPr>
            <w:r>
              <w:t>O(n2)</w:t>
            </w:r>
          </w:p>
        </w:tc>
        <w:tc>
          <w:tcPr>
            <w:tcW w:w="715" w:type="dxa"/>
            <w:vAlign w:val="center"/>
          </w:tcPr>
          <w:p w14:paraId="14BB1BA1" w14:textId="046F22D0" w:rsidR="00891714" w:rsidRPr="00980393" w:rsidRDefault="00891714" w:rsidP="00460B48">
            <w:pPr>
              <w:pStyle w:val="BodyTextIndent"/>
              <w:jc w:val="center"/>
            </w:pPr>
            <w:r>
              <w:t>45</w:t>
            </w:r>
          </w:p>
        </w:tc>
      </w:tr>
      <w:tr w:rsidR="00891714" w14:paraId="183C9318" w14:textId="77777777" w:rsidTr="00460B48">
        <w:trPr>
          <w:trHeight w:val="341"/>
          <w:jc w:val="center"/>
        </w:trPr>
        <w:tc>
          <w:tcPr>
            <w:tcW w:w="3473" w:type="dxa"/>
          </w:tcPr>
          <w:p w14:paraId="006D905E" w14:textId="63D87644" w:rsidR="00891714" w:rsidRPr="00980393" w:rsidRDefault="00891714" w:rsidP="00062467">
            <w:pPr>
              <w:pStyle w:val="BodyTextIndent"/>
              <w:jc w:val="left"/>
            </w:pPr>
            <w:r>
              <w:t>O(n log n)</w:t>
            </w:r>
          </w:p>
        </w:tc>
        <w:tc>
          <w:tcPr>
            <w:tcW w:w="715" w:type="dxa"/>
            <w:vAlign w:val="center"/>
          </w:tcPr>
          <w:p w14:paraId="06482192" w14:textId="1FE601F1" w:rsidR="00891714" w:rsidRPr="00980393" w:rsidRDefault="00891714" w:rsidP="00460B48">
            <w:pPr>
              <w:pStyle w:val="BodyTextIndent"/>
              <w:jc w:val="center"/>
            </w:pPr>
            <w:r>
              <w:t>0</w:t>
            </w:r>
          </w:p>
        </w:tc>
      </w:tr>
      <w:tr w:rsidR="00891714" w14:paraId="274390E5" w14:textId="77777777" w:rsidTr="00460B48">
        <w:trPr>
          <w:trHeight w:val="341"/>
          <w:jc w:val="center"/>
        </w:trPr>
        <w:tc>
          <w:tcPr>
            <w:tcW w:w="3473" w:type="dxa"/>
          </w:tcPr>
          <w:p w14:paraId="1AA145AD" w14:textId="5DB0E457" w:rsidR="00891714" w:rsidRDefault="00891714" w:rsidP="00062467">
            <w:pPr>
              <w:pStyle w:val="BodyTextIndent"/>
              <w:jc w:val="left"/>
            </w:pPr>
            <w:r>
              <w:t>I don’t know</w:t>
            </w:r>
          </w:p>
        </w:tc>
        <w:tc>
          <w:tcPr>
            <w:tcW w:w="715" w:type="dxa"/>
            <w:vAlign w:val="center"/>
          </w:tcPr>
          <w:p w14:paraId="37FAB020" w14:textId="6634C6E1" w:rsidR="00891714" w:rsidRDefault="00891714" w:rsidP="00460B48">
            <w:pPr>
              <w:pStyle w:val="BodyTextIndent"/>
              <w:jc w:val="center"/>
            </w:pPr>
            <w:r>
              <w:t>2</w:t>
            </w:r>
          </w:p>
        </w:tc>
      </w:tr>
    </w:tbl>
    <w:p w14:paraId="3B430C63" w14:textId="77777777" w:rsidR="00891714" w:rsidRDefault="00891714" w:rsidP="00FC7A93">
      <w:pPr>
        <w:pStyle w:val="BodyTextIndent"/>
      </w:pPr>
    </w:p>
    <w:p w14:paraId="2CF23233" w14:textId="6D8639EA" w:rsidR="00E373D9" w:rsidRDefault="00E373D9" w:rsidP="00E373D9">
      <w:pPr>
        <w:pStyle w:val="Caption"/>
        <w:keepNext/>
      </w:pPr>
      <w:r>
        <w:t xml:space="preserve">Table </w:t>
      </w:r>
      <w:r w:rsidR="000A3BDD">
        <w:fldChar w:fldCharType="begin"/>
      </w:r>
      <w:r w:rsidR="000A3BDD">
        <w:instrText xml:space="preserve"> SEQ Table \* ARABIC </w:instrText>
      </w:r>
      <w:r w:rsidR="000A3BDD">
        <w:fldChar w:fldCharType="separate"/>
      </w:r>
      <w:r>
        <w:rPr>
          <w:noProof/>
        </w:rPr>
        <w:t>8</w:t>
      </w:r>
      <w:r w:rsidR="000A3BDD">
        <w:rPr>
          <w:noProof/>
        </w:rPr>
        <w:fldChar w:fldCharType="end"/>
      </w:r>
      <w:r>
        <w:t>. What guarantee could be made of the list to be sorted after the initial iteration of the outer loop of the selection sort algorithm</w:t>
      </w:r>
      <w:r w:rsidRPr="00AA3AEA">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E373D9" w14:paraId="170C2147" w14:textId="77777777" w:rsidTr="00460B48">
        <w:trPr>
          <w:trHeight w:val="310"/>
          <w:jc w:val="center"/>
        </w:trPr>
        <w:tc>
          <w:tcPr>
            <w:tcW w:w="3473" w:type="dxa"/>
            <w:vAlign w:val="center"/>
          </w:tcPr>
          <w:p w14:paraId="627C8DEA" w14:textId="5BE6DB60" w:rsidR="00E373D9" w:rsidRDefault="00243904" w:rsidP="00062467">
            <w:pPr>
              <w:pStyle w:val="BodyTextIndent"/>
              <w:jc w:val="left"/>
            </w:pPr>
            <w:r>
              <w:t>The list would be sorted</w:t>
            </w:r>
          </w:p>
        </w:tc>
        <w:tc>
          <w:tcPr>
            <w:tcW w:w="715" w:type="dxa"/>
            <w:vAlign w:val="center"/>
          </w:tcPr>
          <w:p w14:paraId="5F5D3D79" w14:textId="7B92A0E6" w:rsidR="00E373D9" w:rsidRDefault="00243904" w:rsidP="00460B48">
            <w:pPr>
              <w:pStyle w:val="BodyTextIndent"/>
              <w:jc w:val="center"/>
            </w:pPr>
            <w:r>
              <w:t>2</w:t>
            </w:r>
          </w:p>
        </w:tc>
      </w:tr>
      <w:tr w:rsidR="00E373D9" w14:paraId="0F4A9A0F" w14:textId="77777777" w:rsidTr="00460B48">
        <w:trPr>
          <w:trHeight w:val="341"/>
          <w:jc w:val="center"/>
        </w:trPr>
        <w:tc>
          <w:tcPr>
            <w:tcW w:w="3473" w:type="dxa"/>
          </w:tcPr>
          <w:p w14:paraId="47655DDC" w14:textId="2DEA184C" w:rsidR="00E373D9" w:rsidRDefault="00243904" w:rsidP="00062467">
            <w:pPr>
              <w:pStyle w:val="BodyTextIndent"/>
              <w:jc w:val="left"/>
            </w:pPr>
            <w:r>
              <w:t>The largest element is at the end of the list</w:t>
            </w:r>
          </w:p>
        </w:tc>
        <w:tc>
          <w:tcPr>
            <w:tcW w:w="715" w:type="dxa"/>
            <w:vAlign w:val="center"/>
          </w:tcPr>
          <w:p w14:paraId="16CE9C30" w14:textId="50715D23" w:rsidR="00E373D9" w:rsidRDefault="00243904" w:rsidP="00460B48">
            <w:pPr>
              <w:pStyle w:val="BodyTextIndent"/>
              <w:jc w:val="center"/>
            </w:pPr>
            <w:r>
              <w:t>0</w:t>
            </w:r>
          </w:p>
        </w:tc>
      </w:tr>
      <w:tr w:rsidR="00E373D9" w14:paraId="5F1518E8" w14:textId="77777777" w:rsidTr="00460B48">
        <w:trPr>
          <w:trHeight w:val="341"/>
          <w:jc w:val="center"/>
        </w:trPr>
        <w:tc>
          <w:tcPr>
            <w:tcW w:w="3473" w:type="dxa"/>
          </w:tcPr>
          <w:p w14:paraId="3C04E2E7" w14:textId="5C99C5A5" w:rsidR="00E373D9" w:rsidRDefault="00243904" w:rsidP="00062467">
            <w:pPr>
              <w:pStyle w:val="BodyTextIndent"/>
              <w:jc w:val="left"/>
            </w:pPr>
            <w:r>
              <w:t>The smallest element would be at the start of the list</w:t>
            </w:r>
          </w:p>
        </w:tc>
        <w:tc>
          <w:tcPr>
            <w:tcW w:w="715" w:type="dxa"/>
            <w:vAlign w:val="center"/>
          </w:tcPr>
          <w:p w14:paraId="22818D43" w14:textId="463F4B3F" w:rsidR="00E373D9" w:rsidRDefault="00243904" w:rsidP="00460B48">
            <w:pPr>
              <w:pStyle w:val="BodyTextIndent"/>
              <w:jc w:val="center"/>
            </w:pPr>
            <w:r>
              <w:t>43</w:t>
            </w:r>
          </w:p>
        </w:tc>
      </w:tr>
      <w:tr w:rsidR="00E373D9" w14:paraId="294EE1F1" w14:textId="77777777" w:rsidTr="00460B48">
        <w:trPr>
          <w:trHeight w:val="341"/>
          <w:jc w:val="center"/>
        </w:trPr>
        <w:tc>
          <w:tcPr>
            <w:tcW w:w="3473" w:type="dxa"/>
          </w:tcPr>
          <w:p w14:paraId="476966C1" w14:textId="61BCBA70" w:rsidR="00E373D9" w:rsidRPr="00980393" w:rsidRDefault="00243904" w:rsidP="00243904">
            <w:pPr>
              <w:pStyle w:val="BodyTextIndent"/>
              <w:jc w:val="left"/>
            </w:pPr>
            <w:r>
              <w:t>Either the largest will be at the end of the smallest will be at the start</w:t>
            </w:r>
          </w:p>
        </w:tc>
        <w:tc>
          <w:tcPr>
            <w:tcW w:w="715" w:type="dxa"/>
            <w:vAlign w:val="center"/>
          </w:tcPr>
          <w:p w14:paraId="3197D839" w14:textId="5B7A1E34" w:rsidR="00E373D9" w:rsidRPr="00980393" w:rsidRDefault="00243904" w:rsidP="00460B48">
            <w:pPr>
              <w:pStyle w:val="BodyTextIndent"/>
              <w:jc w:val="center"/>
            </w:pPr>
            <w:r>
              <w:t>0</w:t>
            </w:r>
          </w:p>
        </w:tc>
      </w:tr>
      <w:tr w:rsidR="00E373D9" w14:paraId="05DF78F0" w14:textId="77777777" w:rsidTr="00460B48">
        <w:trPr>
          <w:trHeight w:val="341"/>
          <w:jc w:val="center"/>
        </w:trPr>
        <w:tc>
          <w:tcPr>
            <w:tcW w:w="3473" w:type="dxa"/>
          </w:tcPr>
          <w:p w14:paraId="523EAF38" w14:textId="736A04C7" w:rsidR="00E373D9" w:rsidRPr="00980393" w:rsidRDefault="00243904" w:rsidP="00243904">
            <w:pPr>
              <w:pStyle w:val="BodyTextIndent"/>
              <w:jc w:val="left"/>
            </w:pPr>
            <w:r>
              <w:t>The largest will be at the end and the smallest will be at the start</w:t>
            </w:r>
          </w:p>
        </w:tc>
        <w:tc>
          <w:tcPr>
            <w:tcW w:w="715" w:type="dxa"/>
            <w:vAlign w:val="center"/>
          </w:tcPr>
          <w:p w14:paraId="49D4DAEC" w14:textId="333C5132" w:rsidR="00E373D9" w:rsidRPr="00980393" w:rsidRDefault="00243904" w:rsidP="00460B48">
            <w:pPr>
              <w:pStyle w:val="BodyTextIndent"/>
              <w:jc w:val="center"/>
            </w:pPr>
            <w:r>
              <w:t>3</w:t>
            </w:r>
          </w:p>
        </w:tc>
      </w:tr>
      <w:tr w:rsidR="00243904" w14:paraId="07825270" w14:textId="77777777" w:rsidTr="00460B48">
        <w:trPr>
          <w:trHeight w:val="341"/>
          <w:jc w:val="center"/>
        </w:trPr>
        <w:tc>
          <w:tcPr>
            <w:tcW w:w="3473" w:type="dxa"/>
          </w:tcPr>
          <w:p w14:paraId="1280B305" w14:textId="43CC265D" w:rsidR="00243904" w:rsidRDefault="00243904" w:rsidP="00243904">
            <w:pPr>
              <w:pStyle w:val="BodyTextIndent"/>
              <w:jc w:val="left"/>
            </w:pPr>
            <w:r>
              <w:t>You can’t guarantee anything after the initial pass</w:t>
            </w:r>
          </w:p>
        </w:tc>
        <w:tc>
          <w:tcPr>
            <w:tcW w:w="715" w:type="dxa"/>
            <w:vAlign w:val="center"/>
          </w:tcPr>
          <w:p w14:paraId="6E6082AE" w14:textId="09E8A99C" w:rsidR="00243904" w:rsidRDefault="00243904" w:rsidP="00460B48">
            <w:pPr>
              <w:pStyle w:val="BodyTextIndent"/>
              <w:jc w:val="center"/>
            </w:pPr>
            <w:r>
              <w:t>3</w:t>
            </w:r>
          </w:p>
        </w:tc>
      </w:tr>
      <w:tr w:rsidR="00243904" w14:paraId="67A88DAC" w14:textId="77777777" w:rsidTr="00460B48">
        <w:trPr>
          <w:trHeight w:val="341"/>
          <w:jc w:val="center"/>
        </w:trPr>
        <w:tc>
          <w:tcPr>
            <w:tcW w:w="3473" w:type="dxa"/>
          </w:tcPr>
          <w:p w14:paraId="4E986263" w14:textId="18A70FE7" w:rsidR="00243904" w:rsidRDefault="00243904" w:rsidP="00243904">
            <w:pPr>
              <w:pStyle w:val="BodyTextIndent"/>
              <w:jc w:val="left"/>
            </w:pPr>
            <w:r>
              <w:t>I don’t know</w:t>
            </w:r>
          </w:p>
        </w:tc>
        <w:tc>
          <w:tcPr>
            <w:tcW w:w="715" w:type="dxa"/>
            <w:vAlign w:val="center"/>
          </w:tcPr>
          <w:p w14:paraId="470360E2" w14:textId="5C19CCEF" w:rsidR="00243904" w:rsidRDefault="00243904" w:rsidP="00460B48">
            <w:pPr>
              <w:pStyle w:val="BodyTextIndent"/>
              <w:jc w:val="center"/>
            </w:pPr>
            <w:r>
              <w:t>2</w:t>
            </w:r>
          </w:p>
        </w:tc>
      </w:tr>
      <w:tr w:rsidR="00243904" w14:paraId="6CA0BDD7" w14:textId="77777777" w:rsidTr="00460B48">
        <w:trPr>
          <w:trHeight w:val="341"/>
          <w:jc w:val="center"/>
        </w:trPr>
        <w:tc>
          <w:tcPr>
            <w:tcW w:w="3473" w:type="dxa"/>
          </w:tcPr>
          <w:p w14:paraId="5757B0B0" w14:textId="6D9FD7B7" w:rsidR="00243904" w:rsidRDefault="00243904" w:rsidP="00243904">
            <w:pPr>
              <w:pStyle w:val="BodyTextIndent"/>
              <w:jc w:val="left"/>
            </w:pPr>
            <w:r>
              <w:t>Other</w:t>
            </w:r>
          </w:p>
        </w:tc>
        <w:tc>
          <w:tcPr>
            <w:tcW w:w="715" w:type="dxa"/>
            <w:vAlign w:val="center"/>
          </w:tcPr>
          <w:p w14:paraId="5A223038" w14:textId="28237600" w:rsidR="00243904" w:rsidRDefault="00243904" w:rsidP="00460B48">
            <w:pPr>
              <w:pStyle w:val="BodyTextIndent"/>
              <w:jc w:val="center"/>
            </w:pPr>
            <w:r>
              <w:t>0</w:t>
            </w:r>
          </w:p>
        </w:tc>
      </w:tr>
    </w:tbl>
    <w:p w14:paraId="16A75846" w14:textId="77777777" w:rsidR="00E373D9" w:rsidRDefault="00E373D9" w:rsidP="00FC7A93">
      <w:pPr>
        <w:pStyle w:val="BodyTextIndent"/>
      </w:pPr>
    </w:p>
    <w:p w14:paraId="501C54CD" w14:textId="58177AEB" w:rsidR="00243904" w:rsidRDefault="00300D4B" w:rsidP="00CD2515">
      <w:pPr>
        <w:pStyle w:val="Caption"/>
        <w:keepNext/>
      </w:pPr>
      <w:r>
        <w:t xml:space="preserve">Table </w:t>
      </w:r>
      <w:r w:rsidR="000A3BDD">
        <w:fldChar w:fldCharType="begin"/>
      </w:r>
      <w:r w:rsidR="000A3BDD">
        <w:instrText xml:space="preserve"> SEQ Table \* ARABIC </w:instrText>
      </w:r>
      <w:r w:rsidR="000A3BDD">
        <w:fldChar w:fldCharType="separate"/>
      </w:r>
      <w:r>
        <w:rPr>
          <w:noProof/>
        </w:rPr>
        <w:t>9</w:t>
      </w:r>
      <w:r w:rsidR="000A3BDD">
        <w:rPr>
          <w:noProof/>
        </w:rPr>
        <w:fldChar w:fldCharType="end"/>
      </w:r>
      <w:r>
        <w:t xml:space="preserve">. </w:t>
      </w:r>
      <w:r w:rsidRPr="00AA3AEA">
        <w:t xml:space="preserve">Which statement is true about the </w:t>
      </w:r>
      <w:r>
        <w:t>selection sort</w:t>
      </w:r>
      <w:r w:rsidRPr="00AA3AEA">
        <w:t xml:space="preserve"> algorithm?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243904" w14:paraId="4C8E277C" w14:textId="77777777" w:rsidTr="00460B48">
        <w:trPr>
          <w:trHeight w:val="310"/>
          <w:jc w:val="center"/>
        </w:trPr>
        <w:tc>
          <w:tcPr>
            <w:tcW w:w="3473" w:type="dxa"/>
            <w:vAlign w:val="center"/>
          </w:tcPr>
          <w:p w14:paraId="69EE1BEE" w14:textId="3B5B95D6" w:rsidR="00243904" w:rsidRDefault="00243904" w:rsidP="00062467">
            <w:pPr>
              <w:pStyle w:val="BodyTextIndent"/>
              <w:jc w:val="left"/>
            </w:pPr>
            <w:r>
              <w:t>The algorithm stops when the list is sorted</w:t>
            </w:r>
          </w:p>
        </w:tc>
        <w:tc>
          <w:tcPr>
            <w:tcW w:w="715" w:type="dxa"/>
            <w:vAlign w:val="center"/>
          </w:tcPr>
          <w:p w14:paraId="6EB26308" w14:textId="0611DAE5" w:rsidR="00243904" w:rsidRDefault="00243904" w:rsidP="00460B48">
            <w:pPr>
              <w:pStyle w:val="BodyTextIndent"/>
              <w:jc w:val="center"/>
            </w:pPr>
            <w:r>
              <w:t>1</w:t>
            </w:r>
          </w:p>
        </w:tc>
      </w:tr>
      <w:tr w:rsidR="00243904" w14:paraId="777EF70C" w14:textId="77777777" w:rsidTr="00460B48">
        <w:trPr>
          <w:trHeight w:val="341"/>
          <w:jc w:val="center"/>
        </w:trPr>
        <w:tc>
          <w:tcPr>
            <w:tcW w:w="3473" w:type="dxa"/>
          </w:tcPr>
          <w:p w14:paraId="048DAA60" w14:textId="0CCC1B2D" w:rsidR="00243904" w:rsidRDefault="00243904" w:rsidP="00062467">
            <w:pPr>
              <w:pStyle w:val="BodyTextIndent"/>
              <w:jc w:val="left"/>
            </w:pPr>
            <w:r>
              <w:t>With each pass of the outer loop the number of inner loop iterations increases</w:t>
            </w:r>
          </w:p>
        </w:tc>
        <w:tc>
          <w:tcPr>
            <w:tcW w:w="715" w:type="dxa"/>
            <w:vAlign w:val="center"/>
          </w:tcPr>
          <w:p w14:paraId="49CDCEAF" w14:textId="37C212D7" w:rsidR="00243904" w:rsidRDefault="00243904" w:rsidP="00460B48">
            <w:pPr>
              <w:pStyle w:val="BodyTextIndent"/>
              <w:jc w:val="center"/>
            </w:pPr>
            <w:r>
              <w:t>6</w:t>
            </w:r>
          </w:p>
        </w:tc>
      </w:tr>
      <w:tr w:rsidR="00243904" w14:paraId="04A19F94" w14:textId="77777777" w:rsidTr="00460B48">
        <w:trPr>
          <w:trHeight w:val="341"/>
          <w:jc w:val="center"/>
        </w:trPr>
        <w:tc>
          <w:tcPr>
            <w:tcW w:w="3473" w:type="dxa"/>
          </w:tcPr>
          <w:p w14:paraId="5CD881A4" w14:textId="24DAC5F4" w:rsidR="00243904" w:rsidRDefault="00243904" w:rsidP="00062467">
            <w:pPr>
              <w:pStyle w:val="BodyTextIndent"/>
              <w:jc w:val="left"/>
            </w:pPr>
            <w:r>
              <w:t>Duplicate values can cause selection sort to return an unsorted list</w:t>
            </w:r>
          </w:p>
        </w:tc>
        <w:tc>
          <w:tcPr>
            <w:tcW w:w="715" w:type="dxa"/>
            <w:vAlign w:val="center"/>
          </w:tcPr>
          <w:p w14:paraId="78F25B33" w14:textId="3E4F8303" w:rsidR="00243904" w:rsidRDefault="00243904" w:rsidP="00460B48">
            <w:pPr>
              <w:pStyle w:val="BodyTextIndent"/>
              <w:jc w:val="center"/>
            </w:pPr>
            <w:r>
              <w:t>0</w:t>
            </w:r>
          </w:p>
        </w:tc>
      </w:tr>
      <w:tr w:rsidR="00243904" w14:paraId="0E3D637E" w14:textId="77777777" w:rsidTr="00460B48">
        <w:trPr>
          <w:trHeight w:val="341"/>
          <w:jc w:val="center"/>
        </w:trPr>
        <w:tc>
          <w:tcPr>
            <w:tcW w:w="3473" w:type="dxa"/>
          </w:tcPr>
          <w:p w14:paraId="4773A18B" w14:textId="05A59D00" w:rsidR="00243904" w:rsidRPr="00980393" w:rsidRDefault="00A42B35" w:rsidP="00062467">
            <w:pPr>
              <w:pStyle w:val="BodyTextIndent"/>
              <w:jc w:val="left"/>
            </w:pPr>
            <w:r>
              <w:t>With each pass of the outer loop the number of inner loop iterations decreases</w:t>
            </w:r>
          </w:p>
        </w:tc>
        <w:tc>
          <w:tcPr>
            <w:tcW w:w="715" w:type="dxa"/>
            <w:vAlign w:val="center"/>
          </w:tcPr>
          <w:p w14:paraId="3A0934DA" w14:textId="29591952" w:rsidR="00243904" w:rsidRPr="00980393" w:rsidRDefault="00A42B35" w:rsidP="00460B48">
            <w:pPr>
              <w:pStyle w:val="BodyTextIndent"/>
              <w:jc w:val="center"/>
            </w:pPr>
            <w:r>
              <w:t>43</w:t>
            </w:r>
          </w:p>
        </w:tc>
      </w:tr>
      <w:tr w:rsidR="00243904" w14:paraId="21CB21C6" w14:textId="77777777" w:rsidTr="00460B48">
        <w:trPr>
          <w:trHeight w:val="341"/>
          <w:jc w:val="center"/>
        </w:trPr>
        <w:tc>
          <w:tcPr>
            <w:tcW w:w="3473" w:type="dxa"/>
          </w:tcPr>
          <w:p w14:paraId="641E9982" w14:textId="48401F4C" w:rsidR="00243904" w:rsidRPr="00980393" w:rsidRDefault="00A42B35" w:rsidP="00062467">
            <w:pPr>
              <w:pStyle w:val="BodyTextIndent"/>
              <w:jc w:val="left"/>
            </w:pPr>
            <w:r>
              <w:t>I don’t know</w:t>
            </w:r>
          </w:p>
        </w:tc>
        <w:tc>
          <w:tcPr>
            <w:tcW w:w="715" w:type="dxa"/>
            <w:vAlign w:val="center"/>
          </w:tcPr>
          <w:p w14:paraId="04F40E09" w14:textId="3D863557" w:rsidR="00243904" w:rsidRPr="00980393" w:rsidRDefault="00A42B35" w:rsidP="00460B48">
            <w:pPr>
              <w:pStyle w:val="BodyTextIndent"/>
              <w:jc w:val="center"/>
            </w:pPr>
            <w:r>
              <w:t>1</w:t>
            </w:r>
          </w:p>
        </w:tc>
      </w:tr>
      <w:tr w:rsidR="00A42B35" w14:paraId="76BF3A0D" w14:textId="77777777" w:rsidTr="00460B48">
        <w:trPr>
          <w:trHeight w:val="341"/>
          <w:jc w:val="center"/>
        </w:trPr>
        <w:tc>
          <w:tcPr>
            <w:tcW w:w="3473" w:type="dxa"/>
          </w:tcPr>
          <w:p w14:paraId="27852014" w14:textId="2122FF88" w:rsidR="00A42B35" w:rsidRDefault="00A42B35" w:rsidP="00062467">
            <w:pPr>
              <w:pStyle w:val="BodyTextIndent"/>
              <w:jc w:val="left"/>
            </w:pPr>
            <w:r>
              <w:t>Other</w:t>
            </w:r>
          </w:p>
        </w:tc>
        <w:tc>
          <w:tcPr>
            <w:tcW w:w="715" w:type="dxa"/>
            <w:vAlign w:val="center"/>
          </w:tcPr>
          <w:p w14:paraId="392C622D" w14:textId="56B1D328" w:rsidR="00A42B35" w:rsidRDefault="00A42B35" w:rsidP="00460B48">
            <w:pPr>
              <w:pStyle w:val="BodyTextIndent"/>
              <w:jc w:val="center"/>
            </w:pPr>
            <w:r>
              <w:t>2</w:t>
            </w:r>
          </w:p>
        </w:tc>
      </w:tr>
    </w:tbl>
    <w:p w14:paraId="3F523732" w14:textId="77777777" w:rsidR="00243904" w:rsidRPr="00FC7A93" w:rsidRDefault="00243904" w:rsidP="00FC7A93">
      <w:pPr>
        <w:pStyle w:val="BodyTextIndent"/>
      </w:pPr>
    </w:p>
    <w:p w14:paraId="39D42664" w14:textId="305E38D8" w:rsidR="00110A53" w:rsidRPr="00110A53" w:rsidRDefault="00110A53" w:rsidP="00110A53">
      <w:pPr>
        <w:pStyle w:val="Heading2"/>
      </w:pPr>
      <w:r>
        <w:t>Self-Gauged C</w:t>
      </w:r>
      <w:r w:rsidRPr="00110A53">
        <w:t>ompetency</w:t>
      </w:r>
    </w:p>
    <w:p w14:paraId="1AD1AFEF" w14:textId="1E849D45" w:rsidR="00110A53" w:rsidRPr="00110A53" w:rsidRDefault="00110A53" w:rsidP="00110A53">
      <w:pPr>
        <w:pStyle w:val="BodyTextIndent"/>
      </w:pPr>
      <w:r w:rsidRPr="00110A53">
        <w:t>Since the majority of students who would watch these videos are beginners in computer science, it was a major goal of ours to measure students’ confidence with concepts such as complexity and big-O and as well as to reinforce some underlying principles involved with algorithm design (</w:t>
      </w:r>
      <w:r w:rsidRPr="00110A53">
        <w:rPr>
          <w:i/>
          <w:iCs/>
        </w:rPr>
        <w:t>e.g.,</w:t>
      </w:r>
      <w:r w:rsidRPr="00110A53">
        <w:t xml:space="preserve"> input parameters and preconditions, simple typing, control structures).  The video series </w:t>
      </w:r>
      <w:r w:rsidRPr="00110A53">
        <w:lastRenderedPageBreak/>
        <w:t xml:space="preserve">was presented approximately midway in each course, but was an introduction to the ideas of algorithmic searching and sorting for many of the students. When asked to grade their confidence in being able to code a sort the average response was 2.41 out of 5 and for coding a search the average response 1.77 out of 5. Likewise, when asked about big-O, students were also not very familiar with the concept with an average response </w:t>
      </w:r>
      <w:r w:rsidR="009710E9">
        <w:t>of</w:t>
      </w:r>
      <w:r w:rsidRPr="00110A53">
        <w:rPr>
          <w:b/>
          <w:bCs/>
        </w:rPr>
        <w:t> </w:t>
      </w:r>
      <w:r w:rsidRPr="00110A53">
        <w:t>2.14 for selection sort and 1.54 for binary search</w:t>
      </w:r>
      <w:r w:rsidRPr="00110A53">
        <w:rPr>
          <w:b/>
          <w:bCs/>
        </w:rPr>
        <w:t xml:space="preserve">. </w:t>
      </w:r>
      <w:r w:rsidRPr="00110A53">
        <w:t>These values were understandably low, but we wanted to see how much students’ mentalities improved as a result of following the video series. In order to track their performance students would provide an anonymous ID (last four digits of phone number + last three digits of zip), which kept the responses anonymous but allowed us to pair each person’s pre responses with their post response. Note that if a student didn’t provide their ID in both their pre and post surveys we did not consider their responses in the calculation of average improvement. Below are the results of the study.</w:t>
      </w:r>
    </w:p>
    <w:p w14:paraId="64C0113A" w14:textId="66EF2B86" w:rsidR="00C15F8B" w:rsidRPr="00C15F8B" w:rsidRDefault="00C15F8B" w:rsidP="00C15F8B">
      <w:pPr>
        <w:pStyle w:val="BodyTextIndent"/>
      </w:pPr>
      <w:r w:rsidRPr="00C15F8B">
        <w:t xml:space="preserve">We can see that after watching the binary search video series the average response difference was +1.58 for being able to code the algorithm and </w:t>
      </w:r>
      <w:r w:rsidR="006D3A40">
        <w:t xml:space="preserve">+1.67 for confidence with big-O, and </w:t>
      </w:r>
      <w:r w:rsidRPr="00C15F8B">
        <w:t xml:space="preserve">after watching the selection sort series the average response difference was +1.33 for being able to code the algorithm and +1.31 for confidence with big-O. To verify whether these results were statistically significant we conducted paired </w:t>
      </w:r>
      <w:r w:rsidRPr="006D3A40">
        <w:rPr>
          <w:i/>
        </w:rPr>
        <w:t>t</w:t>
      </w:r>
      <w:r w:rsidRPr="00C15F8B">
        <w:t>-tests for each question, where the results are shown below (will format these into tables)</w:t>
      </w:r>
    </w:p>
    <w:p w14:paraId="3AA5CFF0" w14:textId="3530C5F3" w:rsidR="00D94A1E" w:rsidRDefault="00300D4B" w:rsidP="00300D4B">
      <w:pPr>
        <w:pStyle w:val="Caption"/>
        <w:keepNext/>
      </w:pPr>
      <w:r>
        <w:t xml:space="preserve">Table </w:t>
      </w:r>
      <w:r w:rsidR="000A3BDD">
        <w:fldChar w:fldCharType="begin"/>
      </w:r>
      <w:r w:rsidR="000A3BDD">
        <w:instrText xml:space="preserve"> SEQ Table \* ARABIC </w:instrText>
      </w:r>
      <w:r w:rsidR="000A3BDD">
        <w:fldChar w:fldCharType="separate"/>
      </w:r>
      <w:r>
        <w:rPr>
          <w:noProof/>
        </w:rPr>
        <w:t>10</w:t>
      </w:r>
      <w:r w:rsidR="000A3BDD">
        <w:rPr>
          <w:noProof/>
        </w:rPr>
        <w:fldChar w:fldCharType="end"/>
      </w:r>
      <w:r>
        <w:t xml:space="preserve">.  </w:t>
      </w:r>
      <w:r w:rsidR="004F432D">
        <w:t xml:space="preserve">Student-Reported </w:t>
      </w:r>
      <w:r w:rsidR="00D94A1E">
        <w:t xml:space="preserve">Confidence </w:t>
      </w:r>
      <w:r w:rsidR="00460B48">
        <w:t>Increases</w:t>
      </w:r>
    </w:p>
    <w:tbl>
      <w:tblPr>
        <w:tblW w:w="500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77"/>
        <w:gridCol w:w="596"/>
        <w:gridCol w:w="1022"/>
        <w:gridCol w:w="852"/>
        <w:gridCol w:w="856"/>
      </w:tblGrid>
      <w:tr w:rsidR="00460B48" w14:paraId="4C0B7376" w14:textId="2C3B2037" w:rsidTr="00460B48">
        <w:trPr>
          <w:trHeight w:val="366"/>
          <w:jc w:val="center"/>
        </w:trPr>
        <w:tc>
          <w:tcPr>
            <w:tcW w:w="1677" w:type="dxa"/>
            <w:vAlign w:val="center"/>
          </w:tcPr>
          <w:p w14:paraId="0626FC8A" w14:textId="77777777" w:rsidR="00460B48" w:rsidRDefault="00460B48" w:rsidP="00E57862">
            <w:pPr>
              <w:pStyle w:val="BodyTextIndent"/>
              <w:jc w:val="center"/>
              <w:rPr>
                <w:b/>
                <w:bCs/>
              </w:rPr>
            </w:pPr>
          </w:p>
        </w:tc>
        <w:tc>
          <w:tcPr>
            <w:tcW w:w="596" w:type="dxa"/>
            <w:vAlign w:val="center"/>
          </w:tcPr>
          <w:p w14:paraId="20B2DF26" w14:textId="0EE14EBD" w:rsidR="00460B48" w:rsidRPr="00E57862" w:rsidRDefault="00460B48" w:rsidP="00E57862">
            <w:pPr>
              <w:pStyle w:val="BodyTextIndent"/>
              <w:jc w:val="center"/>
              <w:rPr>
                <w:b/>
                <w:bCs/>
                <w:i/>
              </w:rPr>
            </w:pPr>
            <w:r w:rsidRPr="00E57862">
              <w:rPr>
                <w:b/>
                <w:bCs/>
                <w:i/>
              </w:rPr>
              <w:t>df</w:t>
            </w:r>
          </w:p>
        </w:tc>
        <w:tc>
          <w:tcPr>
            <w:tcW w:w="1022" w:type="dxa"/>
            <w:vAlign w:val="center"/>
          </w:tcPr>
          <w:p w14:paraId="0927844F" w14:textId="04CD36ED" w:rsidR="00460B48" w:rsidRPr="00E57862" w:rsidRDefault="00460B48" w:rsidP="00E57862">
            <w:pPr>
              <w:pStyle w:val="BodyTextIndent"/>
              <w:jc w:val="center"/>
              <w:rPr>
                <w:b/>
                <w:bCs/>
                <w:i/>
              </w:rPr>
            </w:pPr>
            <w:r w:rsidRPr="00E57862">
              <w:rPr>
                <w:b/>
                <w:bCs/>
                <w:i/>
              </w:rPr>
              <w:t>p</w:t>
            </w:r>
          </w:p>
        </w:tc>
        <w:tc>
          <w:tcPr>
            <w:tcW w:w="852" w:type="dxa"/>
          </w:tcPr>
          <w:p w14:paraId="22A1B486" w14:textId="4FE2FDFF" w:rsidR="00460B48" w:rsidRDefault="00460B48" w:rsidP="00460B48">
            <w:pPr>
              <w:pStyle w:val="BodyTextIndent"/>
              <w:jc w:val="center"/>
              <w:rPr>
                <w:b/>
                <w:bCs/>
              </w:rPr>
            </w:pPr>
            <w:r>
              <w:rPr>
                <w:b/>
                <w:bCs/>
              </w:rPr>
              <w:t>Mean increase</w:t>
            </w:r>
          </w:p>
        </w:tc>
        <w:tc>
          <w:tcPr>
            <w:tcW w:w="856" w:type="dxa"/>
          </w:tcPr>
          <w:p w14:paraId="6674A06F" w14:textId="2EB61215" w:rsidR="00460B48" w:rsidRDefault="00460B48" w:rsidP="00E57862">
            <w:pPr>
              <w:pStyle w:val="BodyTextIndent"/>
              <w:jc w:val="center"/>
              <w:rPr>
                <w:b/>
                <w:bCs/>
              </w:rPr>
            </w:pPr>
            <w:r>
              <w:rPr>
                <w:b/>
                <w:bCs/>
              </w:rPr>
              <w:t>Percent increase</w:t>
            </w:r>
          </w:p>
        </w:tc>
      </w:tr>
      <w:tr w:rsidR="00460B48" w14:paraId="35C7DE7D" w14:textId="2955CB5A" w:rsidTr="00460B48">
        <w:trPr>
          <w:trHeight w:val="320"/>
          <w:jc w:val="center"/>
        </w:trPr>
        <w:tc>
          <w:tcPr>
            <w:tcW w:w="1677" w:type="dxa"/>
            <w:vAlign w:val="center"/>
          </w:tcPr>
          <w:p w14:paraId="6E594883" w14:textId="10CB4876" w:rsidR="00460B48" w:rsidRDefault="00460B48" w:rsidP="00E57862">
            <w:pPr>
              <w:pStyle w:val="BodyTextIndent"/>
              <w:jc w:val="center"/>
            </w:pPr>
            <w:r>
              <w:t>Selection Sort coding</w:t>
            </w:r>
          </w:p>
        </w:tc>
        <w:tc>
          <w:tcPr>
            <w:tcW w:w="596" w:type="dxa"/>
            <w:vAlign w:val="center"/>
          </w:tcPr>
          <w:p w14:paraId="723FB0D7" w14:textId="0B714C08" w:rsidR="00460B48" w:rsidRDefault="00460B48" w:rsidP="00E57862">
            <w:pPr>
              <w:pStyle w:val="BodyTextIndent"/>
              <w:jc w:val="center"/>
            </w:pPr>
            <w:r>
              <w:t>50</w:t>
            </w:r>
          </w:p>
        </w:tc>
        <w:tc>
          <w:tcPr>
            <w:tcW w:w="1022" w:type="dxa"/>
            <w:vAlign w:val="center"/>
          </w:tcPr>
          <w:p w14:paraId="10700DA3" w14:textId="7A06A854" w:rsidR="00460B48" w:rsidRDefault="00460B48" w:rsidP="00460B48">
            <w:pPr>
              <w:pStyle w:val="BodyTextIndent"/>
              <w:jc w:val="center"/>
            </w:pPr>
            <w:r>
              <w:t>2.30x10</w:t>
            </w:r>
            <w:r w:rsidRPr="00410683">
              <w:rPr>
                <w:vertAlign w:val="superscript"/>
              </w:rPr>
              <w:t>-12</w:t>
            </w:r>
          </w:p>
        </w:tc>
        <w:tc>
          <w:tcPr>
            <w:tcW w:w="852" w:type="dxa"/>
            <w:vAlign w:val="center"/>
          </w:tcPr>
          <w:p w14:paraId="35124ED9" w14:textId="079F3CF1" w:rsidR="00460B48" w:rsidRDefault="00460B48" w:rsidP="00460B48">
            <w:pPr>
              <w:pStyle w:val="BodyTextIndent"/>
              <w:jc w:val="center"/>
            </w:pPr>
            <w:r>
              <w:t>1.33</w:t>
            </w:r>
          </w:p>
        </w:tc>
        <w:tc>
          <w:tcPr>
            <w:tcW w:w="856" w:type="dxa"/>
            <w:vAlign w:val="center"/>
          </w:tcPr>
          <w:p w14:paraId="41DFBD8D" w14:textId="327B5738" w:rsidR="00460B48" w:rsidRDefault="00460B48" w:rsidP="00460B48">
            <w:pPr>
              <w:pStyle w:val="BodyTextIndent"/>
              <w:jc w:val="center"/>
            </w:pPr>
            <w:r>
              <w:t>55.3%</w:t>
            </w:r>
          </w:p>
        </w:tc>
      </w:tr>
      <w:tr w:rsidR="00460B48" w14:paraId="3FE916D1" w14:textId="77048CED" w:rsidTr="00460B48">
        <w:trPr>
          <w:trHeight w:val="352"/>
          <w:jc w:val="center"/>
        </w:trPr>
        <w:tc>
          <w:tcPr>
            <w:tcW w:w="1677" w:type="dxa"/>
            <w:vAlign w:val="center"/>
          </w:tcPr>
          <w:p w14:paraId="4FAF24B2" w14:textId="6C944FEE" w:rsidR="00460B48" w:rsidRDefault="00460B48" w:rsidP="00E57862">
            <w:pPr>
              <w:pStyle w:val="BodyTextIndent"/>
              <w:jc w:val="center"/>
            </w:pPr>
            <w:r>
              <w:t>Selection Sort complexity</w:t>
            </w:r>
          </w:p>
        </w:tc>
        <w:tc>
          <w:tcPr>
            <w:tcW w:w="596" w:type="dxa"/>
            <w:vAlign w:val="center"/>
          </w:tcPr>
          <w:p w14:paraId="0D1F9EDA" w14:textId="6541390C" w:rsidR="00460B48" w:rsidRDefault="00460B48" w:rsidP="00E57862">
            <w:pPr>
              <w:pStyle w:val="BodyTextIndent"/>
              <w:jc w:val="center"/>
            </w:pPr>
            <w:r>
              <w:t>50</w:t>
            </w:r>
          </w:p>
        </w:tc>
        <w:tc>
          <w:tcPr>
            <w:tcW w:w="1022" w:type="dxa"/>
            <w:vAlign w:val="center"/>
          </w:tcPr>
          <w:p w14:paraId="111DD10A" w14:textId="6C74A29D" w:rsidR="00460B48" w:rsidRDefault="00460B48" w:rsidP="00460B48">
            <w:pPr>
              <w:pStyle w:val="BodyTextIndent"/>
              <w:jc w:val="center"/>
            </w:pPr>
            <w:r>
              <w:t>3.18x10</w:t>
            </w:r>
            <w:r w:rsidRPr="00410683">
              <w:rPr>
                <w:vertAlign w:val="superscript"/>
              </w:rPr>
              <w:t>-8</w:t>
            </w:r>
          </w:p>
        </w:tc>
        <w:tc>
          <w:tcPr>
            <w:tcW w:w="852" w:type="dxa"/>
            <w:vAlign w:val="center"/>
          </w:tcPr>
          <w:p w14:paraId="1543766A" w14:textId="706BE322" w:rsidR="00460B48" w:rsidRDefault="00460B48" w:rsidP="00460B48">
            <w:pPr>
              <w:pStyle w:val="BodyTextIndent"/>
              <w:jc w:val="center"/>
            </w:pPr>
            <w:r>
              <w:t>1.31</w:t>
            </w:r>
          </w:p>
        </w:tc>
        <w:tc>
          <w:tcPr>
            <w:tcW w:w="856" w:type="dxa"/>
            <w:vAlign w:val="center"/>
          </w:tcPr>
          <w:p w14:paraId="6931AA43" w14:textId="40CDC447" w:rsidR="00460B48" w:rsidRDefault="00460B48" w:rsidP="00460B48">
            <w:pPr>
              <w:pStyle w:val="BodyTextIndent"/>
              <w:jc w:val="center"/>
            </w:pPr>
            <w:r>
              <w:t>61.4%</w:t>
            </w:r>
          </w:p>
        </w:tc>
      </w:tr>
      <w:tr w:rsidR="00460B48" w14:paraId="152D57AD" w14:textId="1BA6C01A" w:rsidTr="00460B48">
        <w:trPr>
          <w:trHeight w:val="352"/>
          <w:jc w:val="center"/>
        </w:trPr>
        <w:tc>
          <w:tcPr>
            <w:tcW w:w="1677" w:type="dxa"/>
            <w:vAlign w:val="center"/>
          </w:tcPr>
          <w:p w14:paraId="6C1D33E1" w14:textId="75A68A4A" w:rsidR="00460B48" w:rsidRDefault="00460B48" w:rsidP="00E57862">
            <w:pPr>
              <w:pStyle w:val="BodyTextIndent"/>
              <w:jc w:val="center"/>
            </w:pPr>
            <w:r>
              <w:t>Binary Search coding</w:t>
            </w:r>
          </w:p>
        </w:tc>
        <w:tc>
          <w:tcPr>
            <w:tcW w:w="596" w:type="dxa"/>
            <w:vAlign w:val="center"/>
          </w:tcPr>
          <w:p w14:paraId="375C246B" w14:textId="0681020E" w:rsidR="00460B48" w:rsidRDefault="00460B48" w:rsidP="00E57862">
            <w:pPr>
              <w:pStyle w:val="BodyTextIndent"/>
              <w:jc w:val="center"/>
            </w:pPr>
            <w:r>
              <w:t>30</w:t>
            </w:r>
          </w:p>
        </w:tc>
        <w:tc>
          <w:tcPr>
            <w:tcW w:w="1022" w:type="dxa"/>
            <w:vAlign w:val="center"/>
          </w:tcPr>
          <w:p w14:paraId="64EDE314" w14:textId="47F58892" w:rsidR="00460B48" w:rsidRDefault="00460B48" w:rsidP="00460B48">
            <w:pPr>
              <w:pStyle w:val="BodyTextIndent"/>
              <w:jc w:val="center"/>
            </w:pPr>
            <w:r>
              <w:t>5.89x10</w:t>
            </w:r>
            <w:r w:rsidRPr="00410683">
              <w:rPr>
                <w:vertAlign w:val="superscript"/>
              </w:rPr>
              <w:t>-12</w:t>
            </w:r>
          </w:p>
        </w:tc>
        <w:tc>
          <w:tcPr>
            <w:tcW w:w="852" w:type="dxa"/>
            <w:vAlign w:val="center"/>
          </w:tcPr>
          <w:p w14:paraId="3B9A89CC" w14:textId="33C93A91" w:rsidR="00460B48" w:rsidRDefault="00460B48" w:rsidP="00460B48">
            <w:pPr>
              <w:pStyle w:val="BodyTextIndent"/>
              <w:jc w:val="center"/>
            </w:pPr>
            <w:r>
              <w:t>1.58</w:t>
            </w:r>
          </w:p>
        </w:tc>
        <w:tc>
          <w:tcPr>
            <w:tcW w:w="856" w:type="dxa"/>
            <w:vAlign w:val="center"/>
          </w:tcPr>
          <w:p w14:paraId="73ED5FA7" w14:textId="20850914" w:rsidR="00460B48" w:rsidRDefault="00460B48" w:rsidP="00460B48">
            <w:pPr>
              <w:pStyle w:val="BodyTextIndent"/>
              <w:jc w:val="center"/>
            </w:pPr>
            <w:r>
              <w:t>89.6%</w:t>
            </w:r>
          </w:p>
        </w:tc>
      </w:tr>
      <w:tr w:rsidR="00460B48" w14:paraId="5BE28A02" w14:textId="6259EDC4" w:rsidTr="00460B48">
        <w:trPr>
          <w:trHeight w:val="352"/>
          <w:jc w:val="center"/>
        </w:trPr>
        <w:tc>
          <w:tcPr>
            <w:tcW w:w="1677" w:type="dxa"/>
            <w:vAlign w:val="center"/>
          </w:tcPr>
          <w:p w14:paraId="0789406C" w14:textId="4F7D1723" w:rsidR="00460B48" w:rsidRPr="00980393" w:rsidRDefault="00460B48" w:rsidP="00E57862">
            <w:pPr>
              <w:pStyle w:val="BodyTextIndent"/>
              <w:jc w:val="center"/>
            </w:pPr>
            <w:r>
              <w:t>Binary Search complexity</w:t>
            </w:r>
          </w:p>
        </w:tc>
        <w:tc>
          <w:tcPr>
            <w:tcW w:w="596" w:type="dxa"/>
            <w:vAlign w:val="center"/>
          </w:tcPr>
          <w:p w14:paraId="37792808" w14:textId="7B2461BF" w:rsidR="00460B48" w:rsidRPr="00980393" w:rsidRDefault="00460B48" w:rsidP="00E57862">
            <w:pPr>
              <w:pStyle w:val="BodyTextIndent"/>
              <w:jc w:val="center"/>
            </w:pPr>
            <w:r>
              <w:t>30</w:t>
            </w:r>
          </w:p>
        </w:tc>
        <w:tc>
          <w:tcPr>
            <w:tcW w:w="1022" w:type="dxa"/>
            <w:vAlign w:val="center"/>
          </w:tcPr>
          <w:p w14:paraId="3E01889B" w14:textId="59EE768D" w:rsidR="00460B48" w:rsidRPr="00980393" w:rsidRDefault="00460B48" w:rsidP="00460B48">
            <w:pPr>
              <w:pStyle w:val="BodyTextIndent"/>
              <w:jc w:val="center"/>
            </w:pPr>
            <w:r>
              <w:t>2.41x10</w:t>
            </w:r>
            <w:r w:rsidRPr="00410683">
              <w:rPr>
                <w:vertAlign w:val="superscript"/>
              </w:rPr>
              <w:t>-11</w:t>
            </w:r>
          </w:p>
        </w:tc>
        <w:tc>
          <w:tcPr>
            <w:tcW w:w="852" w:type="dxa"/>
            <w:vAlign w:val="center"/>
          </w:tcPr>
          <w:p w14:paraId="07DD7A3C" w14:textId="4D8E1754" w:rsidR="00460B48" w:rsidRPr="00980393" w:rsidRDefault="00460B48" w:rsidP="00460B48">
            <w:pPr>
              <w:pStyle w:val="BodyTextIndent"/>
              <w:jc w:val="center"/>
            </w:pPr>
            <w:r>
              <w:t>1.68</w:t>
            </w:r>
          </w:p>
        </w:tc>
        <w:tc>
          <w:tcPr>
            <w:tcW w:w="856" w:type="dxa"/>
            <w:vAlign w:val="center"/>
          </w:tcPr>
          <w:p w14:paraId="3F686429" w14:textId="771F5E47" w:rsidR="00460B48" w:rsidRDefault="00460B48" w:rsidP="00460B48">
            <w:pPr>
              <w:pStyle w:val="BodyTextIndent"/>
              <w:jc w:val="center"/>
            </w:pPr>
            <w:r>
              <w:t>109.7%</w:t>
            </w:r>
          </w:p>
        </w:tc>
      </w:tr>
    </w:tbl>
    <w:p w14:paraId="6D499353" w14:textId="2709F52A" w:rsidR="00D94A1E" w:rsidRDefault="00D94A1E">
      <w:pPr>
        <w:pStyle w:val="BodyTextIndent"/>
      </w:pPr>
    </w:p>
    <w:p w14:paraId="1E0462C4" w14:textId="5E17BD17" w:rsidR="00536430" w:rsidRPr="00ED20B6" w:rsidRDefault="00ED20B6" w:rsidP="00ED20B6">
      <w:pPr>
        <w:pStyle w:val="BodyTextIndent"/>
      </w:pPr>
      <w:r w:rsidRPr="00ED20B6">
        <w:t xml:space="preserve">For each question we can see that there is a significantly positive difference between pre and post responses for the entire sample. Moreover, since we were interested in how people from different demographics responded, we investigated if there was a difference in how much confidence gain there was between male and female students. To verify these results, we conducted a t-test for difference in means </w:t>
      </w:r>
      <w:r w:rsidR="004F432D" w:rsidRPr="00ED20B6">
        <w:t>between</w:t>
      </w:r>
      <w:r w:rsidRPr="00ED20B6">
        <w:t xml:space="preserve"> two samples (male and female students) and did not consider anyone who was missing an ID or did not provide their gender on the survey. Below we see the mean difference in confidence per question per gender. For each question the mean confidence increase for women was higher, but none of the questions yielded a large enough spread between men and women for us to conclude there is a statistically significant difference in their confidence boosts.</w:t>
      </w:r>
    </w:p>
    <w:p w14:paraId="28C71538" w14:textId="158A3F22" w:rsidR="00ED20B6" w:rsidRDefault="00CE5179" w:rsidP="00CE5179">
      <w:pPr>
        <w:pStyle w:val="Heading2"/>
      </w:pPr>
      <w:r>
        <w:t>Critique of Videos</w:t>
      </w:r>
    </w:p>
    <w:p w14:paraId="45DBD87C" w14:textId="0829A61A" w:rsidR="00CE5179" w:rsidRDefault="00CE5179" w:rsidP="00CE5179">
      <w:pPr>
        <w:pStyle w:val="BodyTextIndent"/>
      </w:pPr>
      <w:r>
        <w:t>Students evaluated the videos using a Likert</w:t>
      </w:r>
      <w:r w:rsidR="00CB29DC">
        <w:t>-type</w:t>
      </w:r>
      <w:r>
        <w:t xml:space="preserve"> scale</w:t>
      </w:r>
      <w:r w:rsidRPr="00CE5179">
        <w:t xml:space="preserve">, where students answer on a discrete 1-5 scale where 1 means strongly disagree, 3 means neutral and 5 means strongly agree. Our main objectives in this section were to gain insight on the students’ experiences watching the videos, their attitudes after watching the </w:t>
      </w:r>
      <w:r w:rsidRPr="00CE5179">
        <w:lastRenderedPageBreak/>
        <w:t xml:space="preserve">videos, their responses to the music, and how they planned to utilize the videos. In order to ensure that students were thoroughly reading the questions before answering we added two questions with negative sentiments, in which “strongly agree” meant that they did not like a certain aspect of the videos. In addition to supplying the mean and standard deviation of each response, we also include p values for tests against the null hypothesis that the mean response was neutral.  Below are the results for both algorithms per question. </w:t>
      </w:r>
    </w:p>
    <w:p w14:paraId="2FAEF713" w14:textId="77777777" w:rsidR="00262B31" w:rsidRDefault="00262B31" w:rsidP="00CE5179">
      <w:pPr>
        <w:pStyle w:val="BodyTextIndent"/>
      </w:pPr>
    </w:p>
    <w:p w14:paraId="66495F34" w14:textId="60E6BE43" w:rsidR="00262B31" w:rsidRPr="00262B31" w:rsidRDefault="00262B31" w:rsidP="00CE5179">
      <w:pPr>
        <w:pStyle w:val="BodyTextIndent"/>
        <w:rPr>
          <w:b/>
        </w:rPr>
      </w:pPr>
      <w:r w:rsidRPr="00262B31">
        <w:rPr>
          <w:b/>
        </w:rPr>
        <w:t>[</w:t>
      </w:r>
      <w:r>
        <w:rPr>
          <w:b/>
        </w:rPr>
        <w:t>JD to insert table here once confirmed</w:t>
      </w:r>
      <w:r w:rsidRPr="00262B31">
        <w:rPr>
          <w:b/>
        </w:rPr>
        <w:t>]</w:t>
      </w:r>
    </w:p>
    <w:p w14:paraId="44D0B3B0" w14:textId="77777777" w:rsidR="00CE5179" w:rsidRDefault="00CE5179">
      <w:pPr>
        <w:pStyle w:val="BodyTextIndent"/>
      </w:pPr>
    </w:p>
    <w:p w14:paraId="0970C8F3" w14:textId="77777777" w:rsidR="00460B48" w:rsidRDefault="00460B48">
      <w:pPr>
        <w:pStyle w:val="BodyTextIndent"/>
      </w:pPr>
    </w:p>
    <w:p w14:paraId="46D9CF32" w14:textId="77777777" w:rsidR="00460B48" w:rsidRDefault="00460B48">
      <w:pPr>
        <w:pStyle w:val="BodyTextIndent"/>
      </w:pPr>
    </w:p>
    <w:p w14:paraId="2CEE7E7E" w14:textId="77777777" w:rsidR="00460B48" w:rsidRDefault="00460B48">
      <w:pPr>
        <w:pStyle w:val="BodyTextIndent"/>
      </w:pPr>
    </w:p>
    <w:p w14:paraId="54776CA2" w14:textId="77777777" w:rsidR="00460B48" w:rsidRDefault="00460B48">
      <w:pPr>
        <w:pStyle w:val="BodyTextIndent"/>
      </w:pPr>
    </w:p>
    <w:p w14:paraId="048F59EC" w14:textId="77777777" w:rsidR="00460B48" w:rsidRDefault="00460B48">
      <w:pPr>
        <w:pStyle w:val="BodyTextIndent"/>
      </w:pPr>
    </w:p>
    <w:p w14:paraId="0A7968C3" w14:textId="77777777" w:rsidR="00460B48" w:rsidRDefault="00460B48">
      <w:pPr>
        <w:pStyle w:val="BodyTextIndent"/>
      </w:pPr>
    </w:p>
    <w:p w14:paraId="6EB4B2E4" w14:textId="77777777" w:rsidR="00460B48" w:rsidRDefault="00460B48">
      <w:pPr>
        <w:pStyle w:val="BodyTextIndent"/>
      </w:pPr>
    </w:p>
    <w:p w14:paraId="253FBB8F" w14:textId="77777777" w:rsidR="00460B48" w:rsidRDefault="00460B48">
      <w:pPr>
        <w:pStyle w:val="BodyTextIndent"/>
      </w:pPr>
    </w:p>
    <w:p w14:paraId="190B11A0" w14:textId="77777777" w:rsidR="00460B48" w:rsidRDefault="00460B48">
      <w:pPr>
        <w:pStyle w:val="BodyTextIndent"/>
      </w:pPr>
    </w:p>
    <w:p w14:paraId="341309CF" w14:textId="67AAB82D" w:rsidR="008B197E" w:rsidRDefault="003D24E5">
      <w:pPr>
        <w:pStyle w:val="BodyTextIndent"/>
      </w:pPr>
      <w:r w:rsidRPr="003D24E5">
        <w:t>We can see that in both series students felt that the flow of the videos was logical and natural, the lyrics of the songs translated well to pseudo code, the videos overall made the algorithms less intimidating, and students felt that the videos would be a good study resource for</w:t>
      </w:r>
      <w:r w:rsidR="00726121">
        <w:t xml:space="preserve"> exams (all have p values below </w:t>
      </w:r>
      <w:r w:rsidR="00726121" w:rsidRPr="00726121">
        <w:rPr>
          <w:highlight w:val="yellow"/>
        </w:rPr>
        <w:t>???</w:t>
      </w:r>
      <w:r w:rsidR="00726121">
        <w:t>)</w:t>
      </w:r>
      <w:r w:rsidRPr="003D24E5">
        <w:t>. These questions had responses that were significantly more positive than neutral for both algorithms, but even if questions do render a close or even less than average response there can still be merit to the information they offer. For instance, when asked if they wanted more videos to help them learn other algorithms and concepts, selection sort had an average response rate of 3.30 and binary search had an average of 3.14, but for both algorithms over 41% of students indicated a score of 4 or 5, and under 21% of students indicated a score of 2 or 1. Although we did not expect them to memorize it after the first listen we still asked students if the song would help them memorize the algorithm and over 20% reported that they would for both algorithms.</w:t>
      </w:r>
    </w:p>
    <w:p w14:paraId="52D07741" w14:textId="61FC3CB5" w:rsidR="00460B48" w:rsidRDefault="00460B48" w:rsidP="003C2D4E">
      <w:pPr>
        <w:pStyle w:val="Heading2"/>
      </w:pPr>
      <w:r>
        <w:t>Free Responses</w:t>
      </w:r>
    </w:p>
    <w:p w14:paraId="6F72BDBF" w14:textId="77777777" w:rsidR="003C2D4E" w:rsidRDefault="003C2D4E">
      <w:pPr>
        <w:pStyle w:val="BodyTextIndent"/>
        <w:rPr>
          <w:b/>
          <w:sz w:val="24"/>
          <w:szCs w:val="24"/>
        </w:rPr>
      </w:pPr>
    </w:p>
    <w:p w14:paraId="6EA6CFA7"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r w:rsidRPr="003C2D4E">
        <w:rPr>
          <w:rFonts w:ascii="Arial" w:hAnsi="Arial" w:cs="Arial"/>
          <w:color w:val="000000"/>
          <w:sz w:val="20"/>
          <w:szCs w:val="22"/>
        </w:rPr>
        <w:t>If you do more of these, I might suggest having a button somewhere that will play the song, and only the song, so I can play it over and over again without having to search through the video for it.</w:t>
      </w:r>
    </w:p>
    <w:p w14:paraId="107927F7"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r w:rsidRPr="003C2D4E">
        <w:rPr>
          <w:rFonts w:ascii="Arial" w:hAnsi="Arial" w:cs="Arial"/>
          <w:color w:val="000000"/>
          <w:sz w:val="20"/>
          <w:szCs w:val="22"/>
        </w:rPr>
        <w:t>The song wasn't catchy enough ….</w:t>
      </w:r>
    </w:p>
    <w:p w14:paraId="12FEF098"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r w:rsidRPr="003C2D4E">
        <w:rPr>
          <w:rFonts w:ascii="Arial" w:hAnsi="Arial" w:cs="Arial"/>
          <w:color w:val="000000"/>
          <w:sz w:val="20"/>
          <w:szCs w:val="22"/>
        </w:rPr>
        <w:t>I would prefer a combination of text and pictures to videos.</w:t>
      </w:r>
    </w:p>
    <w:p w14:paraId="5960C418"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r w:rsidRPr="003C2D4E">
        <w:rPr>
          <w:rFonts w:ascii="Arial" w:hAnsi="Arial" w:cs="Arial"/>
          <w:color w:val="000000"/>
          <w:sz w:val="20"/>
          <w:szCs w:val="22"/>
        </w:rPr>
        <w:t>This is great! The quality of the background piano music is fantastic.</w:t>
      </w:r>
    </w:p>
    <w:p w14:paraId="704FB47E"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r w:rsidRPr="003C2D4E">
        <w:rPr>
          <w:rFonts w:ascii="Arial" w:hAnsi="Arial" w:cs="Arial"/>
          <w:color w:val="000000"/>
          <w:sz w:val="20"/>
          <w:szCs w:val="22"/>
        </w:rPr>
        <w:t>These videos may have assumed a bit to little background knowledge.</w:t>
      </w:r>
    </w:p>
    <w:p w14:paraId="3CCC3591"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proofErr w:type="spellStart"/>
      <w:r w:rsidRPr="003C2D4E">
        <w:rPr>
          <w:rFonts w:ascii="Arial" w:hAnsi="Arial" w:cs="Arial"/>
          <w:color w:val="000000"/>
          <w:sz w:val="20"/>
          <w:szCs w:val="22"/>
        </w:rPr>
        <w:lastRenderedPageBreak/>
        <w:t>i</w:t>
      </w:r>
      <w:proofErr w:type="spellEnd"/>
      <w:r w:rsidRPr="003C2D4E">
        <w:rPr>
          <w:rFonts w:ascii="Arial" w:hAnsi="Arial" w:cs="Arial"/>
          <w:color w:val="000000"/>
          <w:sz w:val="20"/>
          <w:szCs w:val="22"/>
        </w:rPr>
        <w:t xml:space="preserve"> don't think the song (musically) was catchy enough to be used as a studying skill. if it was to a song we knew, or if it rhymed, maybe it could work</w:t>
      </w:r>
    </w:p>
    <w:p w14:paraId="4FE29A26" w14:textId="77777777" w:rsidR="003C2D4E" w:rsidRDefault="003C2D4E" w:rsidP="003C2D4E">
      <w:pPr>
        <w:pStyle w:val="NormalWeb"/>
        <w:spacing w:before="0" w:beforeAutospacing="0" w:after="0" w:afterAutospacing="0"/>
        <w:textAlignment w:val="baseline"/>
        <w:rPr>
          <w:rFonts w:ascii="Arial" w:hAnsi="Arial" w:cs="Arial"/>
          <w:color w:val="000000"/>
          <w:sz w:val="20"/>
          <w:szCs w:val="22"/>
        </w:rPr>
      </w:pPr>
    </w:p>
    <w:p w14:paraId="012FD5D2" w14:textId="77777777" w:rsidR="003C2D4E" w:rsidRPr="003C2D4E" w:rsidRDefault="003C2D4E" w:rsidP="003C2D4E">
      <w:pPr>
        <w:pStyle w:val="NormalWeb"/>
        <w:spacing w:before="0" w:beforeAutospacing="0" w:after="0" w:afterAutospacing="0"/>
        <w:textAlignment w:val="baseline"/>
        <w:rPr>
          <w:rFonts w:ascii="Arial" w:hAnsi="Arial" w:cs="Arial"/>
          <w:color w:val="000000"/>
          <w:sz w:val="20"/>
          <w:szCs w:val="22"/>
        </w:rPr>
      </w:pPr>
      <w:r w:rsidRPr="003C2D4E">
        <w:rPr>
          <w:rFonts w:ascii="Arial" w:hAnsi="Arial" w:cs="Arial"/>
          <w:color w:val="000000"/>
          <w:sz w:val="20"/>
          <w:szCs w:val="22"/>
        </w:rPr>
        <w:t>Great to learn concepts for prep before class.  Would be an awful source to study for exams.</w:t>
      </w:r>
    </w:p>
    <w:p w14:paraId="2E56A873" w14:textId="77777777" w:rsidR="003C2D4E" w:rsidRDefault="003C2D4E">
      <w:pPr>
        <w:pStyle w:val="BodyTextIndent"/>
        <w:rPr>
          <w:b/>
          <w:sz w:val="24"/>
          <w:szCs w:val="24"/>
        </w:rPr>
      </w:pPr>
    </w:p>
    <w:p w14:paraId="4D89197F" w14:textId="77777777" w:rsidR="003C2D4E" w:rsidRDefault="003C2D4E">
      <w:pPr>
        <w:pStyle w:val="BodyTextIndent"/>
        <w:rPr>
          <w:b/>
          <w:sz w:val="24"/>
          <w:szCs w:val="24"/>
        </w:rPr>
      </w:pPr>
    </w:p>
    <w:p w14:paraId="1FA3EF2F" w14:textId="77777777" w:rsidR="003C2D4E" w:rsidRDefault="003C2D4E">
      <w:pPr>
        <w:pStyle w:val="BodyTextIndent"/>
        <w:rPr>
          <w:b/>
          <w:sz w:val="24"/>
          <w:szCs w:val="24"/>
        </w:rPr>
      </w:pPr>
    </w:p>
    <w:p w14:paraId="6F1BB3F1" w14:textId="77777777" w:rsidR="003C2D4E" w:rsidRDefault="003C2D4E">
      <w:pPr>
        <w:pStyle w:val="BodyTextIndent"/>
        <w:rPr>
          <w:b/>
          <w:sz w:val="24"/>
          <w:szCs w:val="24"/>
        </w:rPr>
      </w:pPr>
    </w:p>
    <w:p w14:paraId="14D30489" w14:textId="77777777" w:rsidR="003C2D4E" w:rsidRDefault="003C2D4E">
      <w:pPr>
        <w:pStyle w:val="BodyTextIndent"/>
        <w:rPr>
          <w:b/>
          <w:sz w:val="24"/>
          <w:szCs w:val="24"/>
        </w:rPr>
      </w:pPr>
    </w:p>
    <w:p w14:paraId="7E61C977" w14:textId="77777777" w:rsidR="003C2D4E" w:rsidRDefault="003C2D4E">
      <w:pPr>
        <w:pStyle w:val="BodyTextIndent"/>
        <w:rPr>
          <w:b/>
          <w:sz w:val="24"/>
          <w:szCs w:val="24"/>
        </w:rPr>
      </w:pPr>
    </w:p>
    <w:p w14:paraId="087AE84C" w14:textId="77777777" w:rsidR="003C2D4E" w:rsidRDefault="003C2D4E">
      <w:pPr>
        <w:pStyle w:val="BodyTextIndent"/>
        <w:rPr>
          <w:b/>
          <w:sz w:val="24"/>
          <w:szCs w:val="24"/>
        </w:rPr>
      </w:pPr>
    </w:p>
    <w:p w14:paraId="1AEBFEA9" w14:textId="77777777" w:rsidR="001D0BA3" w:rsidRDefault="001D0BA3">
      <w:pPr>
        <w:pStyle w:val="BodyTextIndent"/>
        <w:rPr>
          <w:b/>
          <w:sz w:val="24"/>
          <w:szCs w:val="24"/>
        </w:rPr>
      </w:pPr>
    </w:p>
    <w:p w14:paraId="6A9559C1" w14:textId="77777777" w:rsidR="001D0BA3" w:rsidRDefault="001D0BA3">
      <w:pPr>
        <w:pStyle w:val="BodyTextIndent"/>
        <w:rPr>
          <w:b/>
          <w:sz w:val="24"/>
          <w:szCs w:val="24"/>
        </w:rPr>
      </w:pPr>
    </w:p>
    <w:p w14:paraId="7EA14270" w14:textId="77777777" w:rsidR="001D0BA3" w:rsidRDefault="001D0BA3">
      <w:pPr>
        <w:pStyle w:val="BodyTextIndent"/>
        <w:rPr>
          <w:b/>
          <w:sz w:val="24"/>
          <w:szCs w:val="24"/>
        </w:rPr>
      </w:pPr>
    </w:p>
    <w:p w14:paraId="0B7EB029" w14:textId="77777777" w:rsidR="001D0BA3" w:rsidRDefault="001D0BA3">
      <w:pPr>
        <w:pStyle w:val="BodyTextIndent"/>
        <w:rPr>
          <w:b/>
          <w:sz w:val="24"/>
          <w:szCs w:val="24"/>
        </w:rPr>
      </w:pPr>
    </w:p>
    <w:p w14:paraId="1638D6E9" w14:textId="77777777" w:rsidR="001D0BA3" w:rsidRDefault="001D0BA3">
      <w:pPr>
        <w:pStyle w:val="BodyTextIndent"/>
        <w:rPr>
          <w:b/>
          <w:sz w:val="24"/>
          <w:szCs w:val="24"/>
        </w:rPr>
      </w:pPr>
      <w:bookmarkStart w:id="0" w:name="_GoBack"/>
      <w:bookmarkEnd w:id="0"/>
    </w:p>
    <w:p w14:paraId="6E2E6E11" w14:textId="77777777" w:rsidR="003C2D4E" w:rsidRDefault="003C2D4E">
      <w:pPr>
        <w:pStyle w:val="BodyTextIndent"/>
        <w:rPr>
          <w:b/>
          <w:sz w:val="24"/>
          <w:szCs w:val="24"/>
        </w:rPr>
      </w:pPr>
    </w:p>
    <w:p w14:paraId="064186CD" w14:textId="2F418C55" w:rsidR="003C2D4E" w:rsidRDefault="001D0BA3" w:rsidP="001D0BA3">
      <w:pPr>
        <w:pStyle w:val="Heading2"/>
      </w:pPr>
      <w:r>
        <w:t>Future Work</w:t>
      </w:r>
    </w:p>
    <w:p w14:paraId="1191A956" w14:textId="77777777" w:rsidR="001D0BA3" w:rsidRDefault="001D0BA3">
      <w:pPr>
        <w:pStyle w:val="BodyTextIndent"/>
        <w:rPr>
          <w:b/>
          <w:sz w:val="24"/>
          <w:szCs w:val="24"/>
        </w:rPr>
      </w:pPr>
    </w:p>
    <w:p w14:paraId="778A154B" w14:textId="77777777" w:rsidR="001D0BA3" w:rsidRDefault="001D0BA3">
      <w:pPr>
        <w:pStyle w:val="BodyTextIndent"/>
        <w:rPr>
          <w:b/>
          <w:sz w:val="24"/>
          <w:szCs w:val="24"/>
        </w:rPr>
      </w:pPr>
    </w:p>
    <w:p w14:paraId="075FE5B8" w14:textId="77777777" w:rsidR="001D0BA3" w:rsidRDefault="001D0BA3">
      <w:pPr>
        <w:pStyle w:val="BodyTextIndent"/>
        <w:rPr>
          <w:b/>
          <w:sz w:val="24"/>
          <w:szCs w:val="24"/>
        </w:rPr>
      </w:pPr>
    </w:p>
    <w:p w14:paraId="04FC86E9" w14:textId="77777777" w:rsidR="001D0BA3" w:rsidRDefault="001D0BA3">
      <w:pPr>
        <w:pStyle w:val="BodyTextIndent"/>
        <w:rPr>
          <w:b/>
          <w:sz w:val="24"/>
          <w:szCs w:val="24"/>
        </w:rPr>
      </w:pPr>
    </w:p>
    <w:p w14:paraId="66D03B8F" w14:textId="77777777" w:rsidR="001D0BA3" w:rsidRDefault="001D0BA3">
      <w:pPr>
        <w:pStyle w:val="BodyTextIndent"/>
        <w:rPr>
          <w:b/>
          <w:sz w:val="24"/>
          <w:szCs w:val="24"/>
        </w:rPr>
      </w:pPr>
    </w:p>
    <w:p w14:paraId="5D89CF83" w14:textId="77777777" w:rsidR="001D0BA3" w:rsidRDefault="001D0BA3">
      <w:pPr>
        <w:pStyle w:val="BodyTextIndent"/>
        <w:rPr>
          <w:b/>
          <w:sz w:val="24"/>
          <w:szCs w:val="24"/>
        </w:rPr>
      </w:pPr>
    </w:p>
    <w:p w14:paraId="0AEACA61" w14:textId="77777777" w:rsidR="001D0BA3" w:rsidRDefault="001D0BA3">
      <w:pPr>
        <w:pStyle w:val="BodyTextIndent"/>
        <w:rPr>
          <w:b/>
          <w:sz w:val="24"/>
          <w:szCs w:val="24"/>
        </w:rPr>
      </w:pPr>
    </w:p>
    <w:p w14:paraId="6C62B364" w14:textId="77777777" w:rsidR="001D0BA3" w:rsidRDefault="001D0BA3">
      <w:pPr>
        <w:pStyle w:val="BodyTextIndent"/>
        <w:rPr>
          <w:b/>
          <w:sz w:val="24"/>
          <w:szCs w:val="24"/>
        </w:rPr>
      </w:pPr>
    </w:p>
    <w:p w14:paraId="21890076" w14:textId="77777777" w:rsidR="001D0BA3" w:rsidRDefault="001D0BA3">
      <w:pPr>
        <w:pStyle w:val="BodyTextIndent"/>
        <w:rPr>
          <w:b/>
          <w:sz w:val="24"/>
          <w:szCs w:val="24"/>
        </w:rPr>
      </w:pPr>
    </w:p>
    <w:p w14:paraId="1FE36F88" w14:textId="77777777" w:rsidR="001D0BA3" w:rsidRDefault="001D0BA3">
      <w:pPr>
        <w:pStyle w:val="BodyTextIndent"/>
        <w:rPr>
          <w:b/>
          <w:sz w:val="24"/>
          <w:szCs w:val="24"/>
        </w:rPr>
      </w:pPr>
    </w:p>
    <w:p w14:paraId="733A84E0" w14:textId="77777777" w:rsidR="001D0BA3" w:rsidRDefault="001D0BA3">
      <w:pPr>
        <w:pStyle w:val="BodyTextIndent"/>
        <w:rPr>
          <w:b/>
          <w:sz w:val="24"/>
          <w:szCs w:val="24"/>
        </w:rPr>
      </w:pPr>
    </w:p>
    <w:p w14:paraId="789B4619" w14:textId="77777777" w:rsidR="001D0BA3" w:rsidRDefault="001D0BA3">
      <w:pPr>
        <w:pStyle w:val="BodyTextIndent"/>
        <w:rPr>
          <w:b/>
          <w:sz w:val="24"/>
          <w:szCs w:val="24"/>
        </w:rPr>
      </w:pPr>
    </w:p>
    <w:p w14:paraId="4000E4C4" w14:textId="77777777" w:rsidR="001D0BA3" w:rsidRDefault="001D0BA3">
      <w:pPr>
        <w:pStyle w:val="BodyTextIndent"/>
        <w:rPr>
          <w:b/>
          <w:sz w:val="24"/>
          <w:szCs w:val="24"/>
        </w:rPr>
      </w:pPr>
    </w:p>
    <w:p w14:paraId="7D5504F2" w14:textId="77777777" w:rsidR="001D0BA3" w:rsidRDefault="001D0BA3">
      <w:pPr>
        <w:pStyle w:val="BodyTextIndent"/>
        <w:rPr>
          <w:b/>
          <w:sz w:val="24"/>
          <w:szCs w:val="24"/>
        </w:rPr>
      </w:pPr>
    </w:p>
    <w:p w14:paraId="41ABBEA3" w14:textId="77777777" w:rsidR="001D0BA3" w:rsidRDefault="001D0BA3">
      <w:pPr>
        <w:pStyle w:val="BodyTextIndent"/>
        <w:rPr>
          <w:b/>
          <w:sz w:val="24"/>
          <w:szCs w:val="24"/>
        </w:rPr>
      </w:pPr>
    </w:p>
    <w:p w14:paraId="74BD3D77" w14:textId="77777777" w:rsidR="001D0BA3" w:rsidRDefault="001D0BA3">
      <w:pPr>
        <w:pStyle w:val="BodyTextIndent"/>
        <w:rPr>
          <w:b/>
          <w:sz w:val="24"/>
          <w:szCs w:val="24"/>
        </w:rPr>
      </w:pPr>
    </w:p>
    <w:p w14:paraId="270888BA" w14:textId="77777777" w:rsidR="001D0BA3" w:rsidRDefault="001D0BA3">
      <w:pPr>
        <w:pStyle w:val="BodyTextIndent"/>
        <w:rPr>
          <w:b/>
          <w:sz w:val="24"/>
          <w:szCs w:val="24"/>
        </w:rPr>
      </w:pPr>
    </w:p>
    <w:p w14:paraId="0D720B16" w14:textId="77777777" w:rsidR="001D0BA3" w:rsidRDefault="001D0BA3">
      <w:pPr>
        <w:pStyle w:val="BodyTextIndent"/>
        <w:rPr>
          <w:b/>
          <w:sz w:val="24"/>
          <w:szCs w:val="24"/>
        </w:rPr>
      </w:pPr>
    </w:p>
    <w:p w14:paraId="6B1FF15A" w14:textId="77777777" w:rsidR="001D0BA3" w:rsidRPr="00460B48" w:rsidRDefault="001D0BA3">
      <w:pPr>
        <w:pStyle w:val="BodyTextIndent"/>
        <w:rPr>
          <w:b/>
          <w:sz w:val="24"/>
          <w:szCs w:val="24"/>
        </w:rPr>
      </w:pPr>
    </w:p>
    <w:p w14:paraId="6B199972" w14:textId="559535CE" w:rsidR="00614150" w:rsidRDefault="00614150">
      <w:pPr>
        <w:pStyle w:val="Heading1"/>
        <w:spacing w:before="120"/>
      </w:pPr>
      <w:r>
        <w:t>CONCLUDING DISCUSSION</w:t>
      </w:r>
    </w:p>
    <w:p w14:paraId="3FBB3214" w14:textId="52EBAB6C" w:rsidR="00614150" w:rsidRDefault="00614150" w:rsidP="00614150">
      <w:pPr>
        <w:rPr>
          <w:bCs/>
        </w:rPr>
      </w:pPr>
      <w:r w:rsidRPr="00614150">
        <w:rPr>
          <w:bCs/>
        </w:rPr>
        <w:t xml:space="preserve">Educators </w:t>
      </w:r>
      <w:r>
        <w:rPr>
          <w:bCs/>
        </w:rPr>
        <w:t>at all levels</w:t>
      </w:r>
      <w:r w:rsidRPr="00614150">
        <w:rPr>
          <w:bCs/>
        </w:rPr>
        <w:t xml:space="preserve"> are under intense</w:t>
      </w:r>
      <w:r>
        <w:rPr>
          <w:bCs/>
        </w:rPr>
        <w:t>, often increasing,</w:t>
      </w:r>
      <w:r w:rsidRPr="00614150">
        <w:rPr>
          <w:bCs/>
        </w:rPr>
        <w:t xml:space="preserve"> pressure to cover a complete curriculum inside of a limited number of lectures. This </w:t>
      </w:r>
      <w:r w:rsidR="00816EA8">
        <w:rPr>
          <w:bCs/>
        </w:rPr>
        <w:t>tension</w:t>
      </w:r>
      <w:r>
        <w:rPr>
          <w:bCs/>
        </w:rPr>
        <w:t xml:space="preserve"> </w:t>
      </w:r>
      <w:r w:rsidRPr="00614150">
        <w:rPr>
          <w:bCs/>
        </w:rPr>
        <w:t xml:space="preserve">makes it difficult to </w:t>
      </w:r>
      <w:r>
        <w:rPr>
          <w:bCs/>
        </w:rPr>
        <w:t>develop</w:t>
      </w:r>
      <w:r w:rsidRPr="00614150">
        <w:rPr>
          <w:bCs/>
        </w:rPr>
        <w:t xml:space="preserve"> interactive</w:t>
      </w:r>
      <w:r>
        <w:rPr>
          <w:bCs/>
        </w:rPr>
        <w:t xml:space="preserve"> and meaningful learning opportunities</w:t>
      </w:r>
      <w:r w:rsidRPr="00614150">
        <w:rPr>
          <w:bCs/>
        </w:rPr>
        <w:t xml:space="preserve"> as opposed to lecture-</w:t>
      </w:r>
      <w:r>
        <w:rPr>
          <w:bCs/>
        </w:rPr>
        <w:t>only delivery</w:t>
      </w:r>
      <w:r w:rsidR="00816EA8">
        <w:rPr>
          <w:bCs/>
        </w:rPr>
        <w:t xml:space="preserve"> of material</w:t>
      </w:r>
      <w:r>
        <w:rPr>
          <w:bCs/>
        </w:rPr>
        <w:t>.</w:t>
      </w:r>
      <w:r w:rsidRPr="00614150">
        <w:rPr>
          <w:bCs/>
        </w:rPr>
        <w:t xml:space="preserve"> </w:t>
      </w:r>
      <w:r>
        <w:rPr>
          <w:bCs/>
        </w:rPr>
        <w:t>T</w:t>
      </w:r>
      <w:r w:rsidRPr="00614150">
        <w:rPr>
          <w:bCs/>
        </w:rPr>
        <w:t xml:space="preserve">here is </w:t>
      </w:r>
      <w:r>
        <w:rPr>
          <w:bCs/>
        </w:rPr>
        <w:t>just too</w:t>
      </w:r>
      <w:r w:rsidRPr="00614150">
        <w:rPr>
          <w:bCs/>
        </w:rPr>
        <w:t xml:space="preserve"> much information to cover </w:t>
      </w:r>
      <w:r w:rsidR="00816EA8">
        <w:rPr>
          <w:bCs/>
        </w:rPr>
        <w:t>in</w:t>
      </w:r>
      <w:r w:rsidRPr="00614150">
        <w:rPr>
          <w:bCs/>
        </w:rPr>
        <w:t xml:space="preserve"> </w:t>
      </w:r>
      <w:r>
        <w:rPr>
          <w:bCs/>
        </w:rPr>
        <w:t>too</w:t>
      </w:r>
      <w:r w:rsidRPr="00614150">
        <w:rPr>
          <w:bCs/>
        </w:rPr>
        <w:t xml:space="preserve"> little time. </w:t>
      </w:r>
    </w:p>
    <w:p w14:paraId="76E28E5E" w14:textId="30EF6083" w:rsidR="00816EA8" w:rsidRDefault="00614150" w:rsidP="00614150">
      <w:pPr>
        <w:rPr>
          <w:bCs/>
        </w:rPr>
      </w:pPr>
      <w:r w:rsidRPr="00614150">
        <w:rPr>
          <w:bCs/>
        </w:rPr>
        <w:t xml:space="preserve">Another problem that we in </w:t>
      </w:r>
      <w:r w:rsidRPr="00816EA8">
        <w:rPr>
          <w:bCs/>
          <w:iCs/>
        </w:rPr>
        <w:t>computer science</w:t>
      </w:r>
      <w:r w:rsidRPr="00614150">
        <w:rPr>
          <w:bCs/>
          <w:i/>
          <w:iCs/>
        </w:rPr>
        <w:t xml:space="preserve"> </w:t>
      </w:r>
      <w:r w:rsidRPr="00614150">
        <w:rPr>
          <w:bCs/>
        </w:rPr>
        <w:t>are fa</w:t>
      </w:r>
      <w:r>
        <w:rPr>
          <w:bCs/>
        </w:rPr>
        <w:t>cing today is diversity</w:t>
      </w:r>
      <w:r w:rsidRPr="00614150">
        <w:rPr>
          <w:bCs/>
        </w:rPr>
        <w:t xml:space="preserve"> throughout all levels of study. </w:t>
      </w:r>
      <w:r>
        <w:rPr>
          <w:bCs/>
        </w:rPr>
        <w:t xml:space="preserve">We want to provide </w:t>
      </w:r>
      <w:r w:rsidR="00816EA8">
        <w:rPr>
          <w:bCs/>
        </w:rPr>
        <w:t>equity of access to the material.  Music, we believe, provides an almost universal means to reach students and engage them.  This project uses music to promote learning about basic algorithms.</w:t>
      </w:r>
    </w:p>
    <w:p w14:paraId="3EA1981C" w14:textId="436D50D3" w:rsidR="00816EA8" w:rsidRDefault="00614150" w:rsidP="00614150">
      <w:pPr>
        <w:rPr>
          <w:bCs/>
        </w:rPr>
      </w:pPr>
      <w:r w:rsidRPr="00614150">
        <w:rPr>
          <w:bCs/>
        </w:rPr>
        <w:t>We propose a video series used to teach algorithms that incorporates the emotional and mnemonic power of music, and employs audio</w:t>
      </w:r>
      <w:r w:rsidR="00816EA8">
        <w:rPr>
          <w:bCs/>
        </w:rPr>
        <w:t>-</w:t>
      </w:r>
      <w:r w:rsidRPr="00614150">
        <w:rPr>
          <w:bCs/>
        </w:rPr>
        <w:t>visual demonstrations to teach concepts</w:t>
      </w:r>
      <w:r w:rsidR="00816EA8">
        <w:rPr>
          <w:bCs/>
        </w:rPr>
        <w:t xml:space="preserve"> and guide students through</w:t>
      </w:r>
      <w:r w:rsidRPr="00614150">
        <w:rPr>
          <w:bCs/>
        </w:rPr>
        <w:t xml:space="preserve"> such</w:t>
      </w:r>
      <w:r w:rsidR="00816EA8">
        <w:rPr>
          <w:bCs/>
        </w:rPr>
        <w:t xml:space="preserve"> topics</w:t>
      </w:r>
      <w:r w:rsidRPr="00614150">
        <w:rPr>
          <w:bCs/>
        </w:rPr>
        <w:t xml:space="preserve"> as sorting</w:t>
      </w:r>
      <w:r w:rsidR="00816EA8">
        <w:rPr>
          <w:bCs/>
        </w:rPr>
        <w:t>,</w:t>
      </w:r>
      <w:r w:rsidRPr="00614150">
        <w:rPr>
          <w:bCs/>
        </w:rPr>
        <w:t xml:space="preserve"> searching</w:t>
      </w:r>
      <w:r w:rsidR="00816EA8">
        <w:rPr>
          <w:bCs/>
        </w:rPr>
        <w:t>, and complexity analysis.</w:t>
      </w:r>
    </w:p>
    <w:p w14:paraId="53FA21EC" w14:textId="2E8EC7F8" w:rsidR="00614150" w:rsidRPr="00614150" w:rsidRDefault="00614150" w:rsidP="00614150">
      <w:r w:rsidRPr="00614150">
        <w:rPr>
          <w:bCs/>
        </w:rPr>
        <w:t xml:space="preserve">The study covered in this paper, which was held at two colleges across three different courses with five different instructors, has </w:t>
      </w:r>
      <w:r w:rsidR="008014C0">
        <w:rPr>
          <w:bCs/>
        </w:rPr>
        <w:t>provided evidence to</w:t>
      </w:r>
      <w:r w:rsidRPr="00614150">
        <w:rPr>
          <w:bCs/>
        </w:rPr>
        <w:t xml:space="preserve"> that students gained a strong conceptual grasp of the material which they had little to no understanding before</w:t>
      </w:r>
      <w:r w:rsidR="008014C0">
        <w:rPr>
          <w:bCs/>
        </w:rPr>
        <w:t xml:space="preserve"> by </w:t>
      </w:r>
      <w:r w:rsidR="008014C0" w:rsidRPr="00614150">
        <w:rPr>
          <w:bCs/>
        </w:rPr>
        <w:t>watching these video series</w:t>
      </w:r>
      <w:r w:rsidRPr="00614150">
        <w:rPr>
          <w:bCs/>
        </w:rPr>
        <w:t xml:space="preserve">. Moreover, when testing students’ attitudes of the material, results show that their baseline </w:t>
      </w:r>
      <w:r w:rsidR="008014C0">
        <w:rPr>
          <w:bCs/>
        </w:rPr>
        <w:t>level</w:t>
      </w:r>
      <w:r w:rsidR="008014C0" w:rsidRPr="00614150">
        <w:rPr>
          <w:bCs/>
        </w:rPr>
        <w:t xml:space="preserve"> </w:t>
      </w:r>
      <w:r w:rsidR="008014C0">
        <w:rPr>
          <w:bCs/>
        </w:rPr>
        <w:t xml:space="preserve">of </w:t>
      </w:r>
      <w:r w:rsidRPr="00614150">
        <w:rPr>
          <w:bCs/>
        </w:rPr>
        <w:t>confidence</w:t>
      </w:r>
      <w:r w:rsidR="008014C0">
        <w:rPr>
          <w:bCs/>
        </w:rPr>
        <w:t xml:space="preserve"> increased</w:t>
      </w:r>
      <w:r w:rsidRPr="00614150">
        <w:rPr>
          <w:bCs/>
        </w:rPr>
        <w:t xml:space="preserve"> significantly. This increase in confidence was seen in both males and females, but was actually higher for female students. </w:t>
      </w:r>
    </w:p>
    <w:p w14:paraId="583E1001" w14:textId="437B09E6" w:rsidR="00614150" w:rsidRPr="00614150" w:rsidRDefault="00614150" w:rsidP="00614150">
      <w:r w:rsidRPr="00614150">
        <w:rPr>
          <w:bCs/>
        </w:rPr>
        <w:t>The bottom line is that there is nothing to lose from using these video series and so much to gain. Having 80% of students walking into a class</w:t>
      </w:r>
      <w:r w:rsidR="00401EC2">
        <w:rPr>
          <w:bCs/>
        </w:rPr>
        <w:t>room</w:t>
      </w:r>
      <w:r w:rsidRPr="00614150">
        <w:rPr>
          <w:bCs/>
        </w:rPr>
        <w:t xml:space="preserve"> understanding concepts </w:t>
      </w:r>
      <w:r w:rsidR="00401EC2">
        <w:rPr>
          <w:bCs/>
        </w:rPr>
        <w:t>such as</w:t>
      </w:r>
      <w:r w:rsidRPr="00614150">
        <w:rPr>
          <w:bCs/>
        </w:rPr>
        <w:t xml:space="preserve"> big-O, searching and sorting</w:t>
      </w:r>
      <w:r w:rsidR="00401EC2">
        <w:rPr>
          <w:bCs/>
        </w:rPr>
        <w:t xml:space="preserve"> to some degree prior to the meeting</w:t>
      </w:r>
      <w:r w:rsidRPr="00614150">
        <w:rPr>
          <w:bCs/>
        </w:rPr>
        <w:t xml:space="preserve"> can open up </w:t>
      </w:r>
      <w:r w:rsidR="00401EC2">
        <w:rPr>
          <w:bCs/>
        </w:rPr>
        <w:t>class</w:t>
      </w:r>
      <w:r w:rsidRPr="00614150">
        <w:rPr>
          <w:bCs/>
        </w:rPr>
        <w:t xml:space="preserve"> time for teachers</w:t>
      </w:r>
      <w:r w:rsidR="00401EC2">
        <w:rPr>
          <w:bCs/>
        </w:rPr>
        <w:t>. This</w:t>
      </w:r>
      <w:r w:rsidRPr="00614150">
        <w:rPr>
          <w:bCs/>
        </w:rPr>
        <w:t xml:space="preserve"> will enable them to include </w:t>
      </w:r>
      <w:r w:rsidR="00401EC2">
        <w:rPr>
          <w:bCs/>
        </w:rPr>
        <w:t xml:space="preserve">creative </w:t>
      </w:r>
      <w:r w:rsidRPr="00614150">
        <w:rPr>
          <w:bCs/>
        </w:rPr>
        <w:t xml:space="preserve">learning activities such as in-class problem solving time and peer instruction. These video series </w:t>
      </w:r>
      <w:r w:rsidR="00401EC2">
        <w:rPr>
          <w:bCs/>
        </w:rPr>
        <w:t>are freely and readily available</w:t>
      </w:r>
      <w:r w:rsidRPr="00614150">
        <w:rPr>
          <w:bCs/>
        </w:rPr>
        <w:t xml:space="preserve">, allow students to work at their own pace, are accessible to anyone with </w:t>
      </w:r>
      <w:r w:rsidR="00401EC2" w:rsidRPr="00614150">
        <w:rPr>
          <w:bCs/>
        </w:rPr>
        <w:t>Internet</w:t>
      </w:r>
      <w:r w:rsidRPr="00614150">
        <w:rPr>
          <w:bCs/>
        </w:rPr>
        <w:t xml:space="preserve"> access, and even incorporate the power of music to </w:t>
      </w:r>
      <w:r w:rsidR="00401EC2">
        <w:rPr>
          <w:bCs/>
        </w:rPr>
        <w:t>illustrate</w:t>
      </w:r>
      <w:r w:rsidRPr="00614150">
        <w:rPr>
          <w:bCs/>
        </w:rPr>
        <w:t xml:space="preserve"> code. Thus, we encourage other educators to </w:t>
      </w:r>
      <w:r w:rsidR="00401EC2">
        <w:rPr>
          <w:bCs/>
        </w:rPr>
        <w:t>explore</w:t>
      </w:r>
      <w:r w:rsidRPr="00614150">
        <w:rPr>
          <w:bCs/>
        </w:rPr>
        <w:t xml:space="preserve"> these videos and to offer the series to their students</w:t>
      </w:r>
      <w:r w:rsidR="00401EC2">
        <w:rPr>
          <w:bCs/>
        </w:rPr>
        <w:t>, especially novice students, as a fun, effective way to develop their appreciation and understanding of computer science.</w:t>
      </w:r>
    </w:p>
    <w:p w14:paraId="2F8C373A" w14:textId="77777777" w:rsidR="008B197E" w:rsidRDefault="008B197E">
      <w:pPr>
        <w:pStyle w:val="Heading1"/>
        <w:spacing w:before="120"/>
      </w:pPr>
      <w:r>
        <w:t>ACKNOWLEDGMENTS</w:t>
      </w:r>
    </w:p>
    <w:p w14:paraId="312F7CEB" w14:textId="3DA64858" w:rsidR="008B197E" w:rsidRDefault="008B197E">
      <w:pPr>
        <w:pStyle w:val="BodyTextIndent"/>
      </w:pPr>
      <w:r>
        <w:t xml:space="preserve">Our thanks to </w:t>
      </w:r>
      <w:r w:rsidR="00720EDC">
        <w:t>the professors who piloted the videos series in their respective courses in the Spring of 2016.</w:t>
      </w:r>
    </w:p>
    <w:p w14:paraId="05D81CD7" w14:textId="143B1055" w:rsidR="008B197E" w:rsidRDefault="008B197E">
      <w:pPr>
        <w:pStyle w:val="Heading1"/>
        <w:spacing w:before="120"/>
      </w:pPr>
      <w:r>
        <w:t>REFERENCES</w:t>
      </w:r>
    </w:p>
    <w:p w14:paraId="7A7E8F6B" w14:textId="7417B217" w:rsidR="00FE7F8C" w:rsidRPr="00FE7F8C" w:rsidRDefault="00AF7809" w:rsidP="00FE7F8C">
      <w:pPr>
        <w:pStyle w:val="References"/>
      </w:pPr>
      <w:r>
        <w:t>Ames, B.J. 2012. What is a flame? The Flame Challenge</w:t>
      </w:r>
      <w:r w:rsidR="00FE7F8C" w:rsidRPr="00FE7F8C">
        <w:t xml:space="preserve">: Explaining Science to an 11 Year Old. </w:t>
      </w:r>
      <w:r w:rsidR="00FE7F8C" w:rsidRPr="00FE7F8C">
        <w:rPr>
          <w:i/>
          <w:iCs/>
        </w:rPr>
        <w:t xml:space="preserve">Alan </w:t>
      </w:r>
      <w:proofErr w:type="spellStart"/>
      <w:r w:rsidR="00FE7F8C" w:rsidRPr="00FE7F8C">
        <w:rPr>
          <w:i/>
          <w:iCs/>
        </w:rPr>
        <w:t>Alda</w:t>
      </w:r>
      <w:proofErr w:type="spellEnd"/>
      <w:r w:rsidR="00FE7F8C" w:rsidRPr="00FE7F8C">
        <w:rPr>
          <w:i/>
          <w:iCs/>
        </w:rPr>
        <w:t xml:space="preserve"> Center for Communicating Science, Stony Brook University</w:t>
      </w:r>
      <w:r w:rsidR="00FE7F8C" w:rsidRPr="00FE7F8C">
        <w:t xml:space="preserve">. Accessed 20 August 2016, </w:t>
      </w:r>
      <w:hyperlink r:id="rId10" w:history="1">
        <w:r w:rsidR="00FE7F8C" w:rsidRPr="00FE7F8C">
          <w:rPr>
            <w:rStyle w:val="Hyperlink"/>
          </w:rPr>
          <w:t>http://www.centerforcommunicatingscience.org/what-is-a-flame/</w:t>
        </w:r>
      </w:hyperlink>
      <w:r w:rsidR="00FE7F8C" w:rsidRPr="00FE7F8C">
        <w:t>.</w:t>
      </w:r>
    </w:p>
    <w:p w14:paraId="23B2F90B" w14:textId="4A0FD1B6" w:rsidR="00452FAC" w:rsidRDefault="00452FAC" w:rsidP="00452FAC">
      <w:pPr>
        <w:pStyle w:val="References"/>
      </w:pPr>
      <w:proofErr w:type="spellStart"/>
      <w:r w:rsidRPr="00452FAC">
        <w:t>Bransford</w:t>
      </w:r>
      <w:proofErr w:type="spellEnd"/>
      <w:r w:rsidRPr="00452FAC">
        <w:t>, J.D., Brown, A.L. and Cocking, R.R., 1999. </w:t>
      </w:r>
      <w:r w:rsidRPr="00452FAC">
        <w:rPr>
          <w:i/>
          <w:iCs/>
        </w:rPr>
        <w:t>How people learn: Brain, mind, experience, and school</w:t>
      </w:r>
      <w:r w:rsidRPr="00452FAC">
        <w:t>. National Academy Press.</w:t>
      </w:r>
    </w:p>
    <w:p w14:paraId="6260EB3C" w14:textId="5A4E3CF1" w:rsidR="00FE7F8C" w:rsidRDefault="00FE7F8C" w:rsidP="00FE7F8C">
      <w:pPr>
        <w:pStyle w:val="References"/>
      </w:pPr>
      <w:proofErr w:type="spellStart"/>
      <w:r>
        <w:t>Chavey</w:t>
      </w:r>
      <w:proofErr w:type="spellEnd"/>
      <w:r>
        <w:t>, D.</w:t>
      </w:r>
      <w:r w:rsidRPr="00FE7F8C">
        <w:t xml:space="preserve"> 1996. Songs and the analysis of algorithms. In </w:t>
      </w:r>
      <w:r w:rsidR="00157AF3">
        <w:rPr>
          <w:i/>
        </w:rPr>
        <w:t xml:space="preserve">Proceedings of the Twenty-seventh SIGCSE Technical </w:t>
      </w:r>
      <w:r w:rsidR="00157AF3">
        <w:rPr>
          <w:i/>
        </w:rPr>
        <w:lastRenderedPageBreak/>
        <w:t>S</w:t>
      </w:r>
      <w:r w:rsidRPr="00157AF3">
        <w:rPr>
          <w:i/>
        </w:rPr>
        <w:t>ympo</w:t>
      </w:r>
      <w:r w:rsidR="00157AF3">
        <w:rPr>
          <w:i/>
        </w:rPr>
        <w:t>sium on Computer Science Education</w:t>
      </w:r>
      <w:r w:rsidRPr="00FE7F8C">
        <w:t>, Karl J. Klee (Ed.). ACM, Ne</w:t>
      </w:r>
      <w:r w:rsidR="00C7341D">
        <w:t xml:space="preserve">w York, NY, USA, 4 – </w:t>
      </w:r>
      <w:r w:rsidRPr="00FE7F8C">
        <w:t>8.</w:t>
      </w:r>
    </w:p>
    <w:p w14:paraId="02BAF610" w14:textId="3C265513" w:rsidR="0015190B" w:rsidRDefault="0015190B" w:rsidP="00FE7F8C">
      <w:pPr>
        <w:pStyle w:val="References"/>
      </w:pPr>
      <w:proofErr w:type="spellStart"/>
      <w:r w:rsidRPr="0015190B">
        <w:t>Claussen</w:t>
      </w:r>
      <w:proofErr w:type="spellEnd"/>
      <w:r w:rsidRPr="0015190B">
        <w:t xml:space="preserve">, D. W., and M. H. </w:t>
      </w:r>
      <w:proofErr w:type="spellStart"/>
      <w:r w:rsidRPr="0015190B">
        <w:t>Thaut</w:t>
      </w:r>
      <w:proofErr w:type="spellEnd"/>
      <w:r w:rsidRPr="0015190B">
        <w:t>.</w:t>
      </w:r>
      <w:r>
        <w:t xml:space="preserve"> 1997.</w:t>
      </w:r>
      <w:r w:rsidRPr="0015190B">
        <w:t xml:space="preserve"> “Music as a mnemonic device for children with learning disabilities.” </w:t>
      </w:r>
      <w:r w:rsidRPr="0015190B">
        <w:rPr>
          <w:i/>
          <w:iCs/>
        </w:rPr>
        <w:t>Canadian Journal of Music Therapy</w:t>
      </w:r>
      <w:r w:rsidR="00C7341D">
        <w:t xml:space="preserve"> 5.1: 55 – </w:t>
      </w:r>
      <w:r>
        <w:t>66</w:t>
      </w:r>
      <w:r w:rsidRPr="0015190B">
        <w:t>.</w:t>
      </w:r>
    </w:p>
    <w:p w14:paraId="30D9AFDB" w14:textId="5D6A0C91" w:rsidR="00D95465" w:rsidRPr="00D95465" w:rsidRDefault="00D95465" w:rsidP="00FE7F8C">
      <w:pPr>
        <w:pStyle w:val="References"/>
        <w:rPr>
          <w:b/>
          <w:color w:val="800000"/>
        </w:rPr>
      </w:pPr>
      <w:r w:rsidRPr="00D95465">
        <w:rPr>
          <w:b/>
          <w:color w:val="800000"/>
        </w:rPr>
        <w:t>Dougherty, J. P.</w:t>
      </w:r>
      <w:r w:rsidR="002E1A76">
        <w:rPr>
          <w:b/>
          <w:color w:val="800000"/>
        </w:rPr>
        <w:t xml:space="preserve"> 2008.</w:t>
      </w:r>
      <w:r w:rsidRPr="00D95465">
        <w:rPr>
          <w:b/>
          <w:color w:val="800000"/>
        </w:rPr>
        <w:t xml:space="preserve"> “Using lyrics and music to reinforce concepts.”</w:t>
      </w:r>
      <w:r w:rsidRPr="00D95465">
        <w:rPr>
          <w:b/>
          <w:i/>
          <w:color w:val="800000"/>
        </w:rPr>
        <w:t xml:space="preserve"> Journal of Computing Sciences in Colleges</w:t>
      </w:r>
      <w:r w:rsidRPr="00D95465">
        <w:rPr>
          <w:b/>
          <w:color w:val="800000"/>
        </w:rPr>
        <w:t>, 23, 3 (Jan. 2008), 106 – 113.</w:t>
      </w:r>
      <w:r w:rsidR="0094795E">
        <w:rPr>
          <w:b/>
          <w:color w:val="800000"/>
        </w:rPr>
        <w:t xml:space="preserve"> </w:t>
      </w:r>
    </w:p>
    <w:p w14:paraId="6856D9B2" w14:textId="4BEDFED9" w:rsidR="00FE7F8C" w:rsidRPr="00FE7F8C" w:rsidRDefault="00FE7F8C" w:rsidP="00FE7F8C">
      <w:pPr>
        <w:pStyle w:val="References"/>
      </w:pPr>
      <w:r w:rsidRPr="00FE7F8C">
        <w:t xml:space="preserve">Knuth, D. </w:t>
      </w:r>
      <w:r w:rsidR="002A47EE">
        <w:t xml:space="preserve">1984. The complexity of songs. </w:t>
      </w:r>
      <w:proofErr w:type="spellStart"/>
      <w:r w:rsidRPr="00FE7F8C">
        <w:rPr>
          <w:i/>
        </w:rPr>
        <w:t>Commun</w:t>
      </w:r>
      <w:proofErr w:type="spellEnd"/>
      <w:r w:rsidRPr="00FE7F8C">
        <w:rPr>
          <w:i/>
        </w:rPr>
        <w:t>. ACM</w:t>
      </w:r>
      <w:r w:rsidR="00E67E22">
        <w:t xml:space="preserve"> 27(4), 344 – 346</w:t>
      </w:r>
      <w:r w:rsidRPr="00FE7F8C">
        <w:t>.</w:t>
      </w:r>
    </w:p>
    <w:p w14:paraId="0080A203" w14:textId="71E93FDE" w:rsidR="00FE7F8C" w:rsidRDefault="003C5AF1" w:rsidP="007C08CF">
      <w:pPr>
        <w:pStyle w:val="References"/>
      </w:pPr>
      <w:r w:rsidRPr="003C5AF1">
        <w:t xml:space="preserve">Maher, M.L., </w:t>
      </w:r>
      <w:proofErr w:type="spellStart"/>
      <w:r w:rsidRPr="003C5AF1">
        <w:t>Latulipe</w:t>
      </w:r>
      <w:proofErr w:type="spellEnd"/>
      <w:r w:rsidRPr="003C5AF1">
        <w:t xml:space="preserve">, C., </w:t>
      </w:r>
      <w:proofErr w:type="spellStart"/>
      <w:r w:rsidRPr="003C5AF1">
        <w:t>Lipford</w:t>
      </w:r>
      <w:proofErr w:type="spellEnd"/>
      <w:r w:rsidRPr="003C5AF1">
        <w:t xml:space="preserve">, H., and </w:t>
      </w:r>
      <w:proofErr w:type="spellStart"/>
      <w:r w:rsidRPr="003C5AF1">
        <w:t>Rorrer</w:t>
      </w:r>
      <w:proofErr w:type="spellEnd"/>
      <w:r w:rsidRPr="003C5AF1">
        <w:t xml:space="preserve">, A. </w:t>
      </w:r>
      <w:r w:rsidR="00E67E22">
        <w:t xml:space="preserve">2015. </w:t>
      </w:r>
      <w:r w:rsidRPr="003C5AF1">
        <w:t xml:space="preserve">“Flipped Classroom Strategies for CS Education.” </w:t>
      </w:r>
      <w:r w:rsidRPr="003C5AF1">
        <w:rPr>
          <w:i/>
          <w:iCs/>
        </w:rPr>
        <w:t>In Proceedings of the 46th ACM Technical Symposium on Computer Science Education</w:t>
      </w:r>
      <w:r w:rsidRPr="003C5AF1">
        <w:t xml:space="preserve">. ACM, </w:t>
      </w:r>
      <w:r w:rsidR="00560990">
        <w:t xml:space="preserve">New York, NY, USA, 218 – </w:t>
      </w:r>
      <w:r w:rsidR="00E67E22">
        <w:t>223</w:t>
      </w:r>
      <w:r w:rsidRPr="003C5AF1">
        <w:t>.</w:t>
      </w:r>
    </w:p>
    <w:p w14:paraId="0C65FA97" w14:textId="2BF310D4" w:rsidR="00D14BF4" w:rsidRPr="007F39D5" w:rsidRDefault="00D14BF4" w:rsidP="00D14BF4">
      <w:pPr>
        <w:pStyle w:val="References"/>
        <w:rPr>
          <w:b/>
          <w:color w:val="800000"/>
        </w:rPr>
      </w:pPr>
      <w:r w:rsidRPr="007F39D5">
        <w:rPr>
          <w:b/>
          <w:bCs/>
          <w:color w:val="800000"/>
        </w:rPr>
        <w:lastRenderedPageBreak/>
        <w:t>Schreiber, B., a</w:t>
      </w:r>
      <w:r w:rsidR="007F39D5" w:rsidRPr="007F39D5">
        <w:rPr>
          <w:b/>
          <w:bCs/>
          <w:color w:val="800000"/>
        </w:rPr>
        <w:t>nd Dougherty, J. P. 2016. “Embedding Algorithm Pseudocode in Lyrics to Facilitate Recall and Promote L</w:t>
      </w:r>
      <w:r w:rsidRPr="007F39D5">
        <w:rPr>
          <w:b/>
          <w:bCs/>
          <w:color w:val="800000"/>
        </w:rPr>
        <w:t xml:space="preserve">earning.” Accepted, </w:t>
      </w:r>
      <w:r w:rsidRPr="007F39D5">
        <w:rPr>
          <w:b/>
          <w:bCs/>
          <w:i/>
          <w:iCs/>
          <w:color w:val="800000"/>
        </w:rPr>
        <w:t>Consortium for Compu</w:t>
      </w:r>
      <w:r w:rsidR="007F39D5" w:rsidRPr="007F39D5">
        <w:rPr>
          <w:b/>
          <w:bCs/>
          <w:i/>
          <w:iCs/>
          <w:color w:val="800000"/>
        </w:rPr>
        <w:t>ting Sciences in Colleges</w:t>
      </w:r>
      <w:r w:rsidRPr="007F39D5">
        <w:rPr>
          <w:b/>
          <w:bCs/>
          <w:i/>
          <w:iCs/>
          <w:color w:val="800000"/>
        </w:rPr>
        <w:t xml:space="preserve"> Eastern Conference</w:t>
      </w:r>
      <w:r w:rsidRPr="007F39D5">
        <w:rPr>
          <w:b/>
          <w:bCs/>
          <w:color w:val="800000"/>
        </w:rPr>
        <w:t xml:space="preserve"> </w:t>
      </w:r>
      <w:r w:rsidR="007F39D5" w:rsidRPr="007F39D5">
        <w:rPr>
          <w:b/>
          <w:bCs/>
          <w:color w:val="800000"/>
        </w:rPr>
        <w:t>(Frostburg State University, Frostburg</w:t>
      </w:r>
      <w:r w:rsidRPr="007F39D5">
        <w:rPr>
          <w:b/>
          <w:bCs/>
          <w:color w:val="800000"/>
        </w:rPr>
        <w:t xml:space="preserve">, MD, </w:t>
      </w:r>
      <w:r w:rsidR="007F39D5" w:rsidRPr="007F39D5">
        <w:rPr>
          <w:b/>
          <w:bCs/>
          <w:color w:val="800000"/>
        </w:rPr>
        <w:t xml:space="preserve">USA, </w:t>
      </w:r>
      <w:r w:rsidRPr="007F39D5">
        <w:rPr>
          <w:b/>
          <w:bCs/>
          <w:color w:val="800000"/>
        </w:rPr>
        <w:t>October</w:t>
      </w:r>
      <w:r w:rsidR="007F39D5" w:rsidRPr="007F39D5">
        <w:rPr>
          <w:b/>
          <w:bCs/>
          <w:color w:val="800000"/>
        </w:rPr>
        <w:t xml:space="preserve"> 28 – 29)</w:t>
      </w:r>
      <w:r w:rsidRPr="007F39D5">
        <w:rPr>
          <w:b/>
          <w:bCs/>
          <w:color w:val="800000"/>
        </w:rPr>
        <w:t>.</w:t>
      </w:r>
    </w:p>
    <w:p w14:paraId="431B44C1" w14:textId="30F5FA93" w:rsidR="00D14BF4" w:rsidRDefault="009075E2" w:rsidP="00D14BF4">
      <w:pPr>
        <w:pStyle w:val="References"/>
      </w:pPr>
      <w:proofErr w:type="spellStart"/>
      <w:r w:rsidRPr="009075E2">
        <w:t>Yeoh</w:t>
      </w:r>
      <w:proofErr w:type="spellEnd"/>
      <w:r w:rsidRPr="009075E2">
        <w:t>, M.P.</w:t>
      </w:r>
      <w:r w:rsidR="005B55EF">
        <w:t xml:space="preserve"> 2013.</w:t>
      </w:r>
      <w:r w:rsidRPr="009075E2">
        <w:t xml:space="preserve"> “Musical mnemonics to facilitate learning of matriculation biology: The Calvin Cycle.” </w:t>
      </w:r>
      <w:r w:rsidRPr="009075E2">
        <w:rPr>
          <w:i/>
          <w:iCs/>
        </w:rPr>
        <w:t>Molecules</w:t>
      </w:r>
      <w:r w:rsidR="005B55EF">
        <w:t xml:space="preserve"> 3: 3C</w:t>
      </w:r>
      <w:r w:rsidRPr="009075E2">
        <w:t>.</w:t>
      </w:r>
    </w:p>
    <w:p w14:paraId="2E935D3B" w14:textId="77777777" w:rsidR="00872EAC" w:rsidRPr="00872EAC" w:rsidRDefault="00872EAC" w:rsidP="00872EAC">
      <w:pPr>
        <w:pStyle w:val="References"/>
      </w:pPr>
      <w:proofErr w:type="spellStart"/>
      <w:r w:rsidRPr="00872EAC">
        <w:t>Zull</w:t>
      </w:r>
      <w:proofErr w:type="spellEnd"/>
      <w:r w:rsidRPr="00872EAC">
        <w:t>, J.E., 2004. The art of changing the brain. </w:t>
      </w:r>
      <w:r w:rsidRPr="00872EAC">
        <w:rPr>
          <w:i/>
          <w:iCs/>
        </w:rPr>
        <w:t>Educational Leadership</w:t>
      </w:r>
      <w:r w:rsidRPr="00872EAC">
        <w:t>, </w:t>
      </w:r>
      <w:r w:rsidRPr="00872EAC">
        <w:rPr>
          <w:i/>
          <w:iCs/>
        </w:rPr>
        <w:t>62</w:t>
      </w:r>
      <w:r w:rsidRPr="00872EAC">
        <w:t>(1), pp.68-72.</w:t>
      </w:r>
    </w:p>
    <w:p w14:paraId="6184311C" w14:textId="77777777" w:rsidR="009075E2" w:rsidRPr="00D14BF4" w:rsidRDefault="009075E2" w:rsidP="00D14BF4">
      <w:pPr>
        <w:pStyle w:val="References"/>
      </w:pPr>
    </w:p>
    <w:p w14:paraId="1410CAF5" w14:textId="77777777" w:rsidR="008B197E" w:rsidRDefault="008B197E">
      <w:pPr>
        <w:pStyle w:val="References"/>
        <w:numPr>
          <w:ilvl w:val="0"/>
          <w:numId w:val="0"/>
        </w:numPr>
      </w:pPr>
    </w:p>
    <w:p w14:paraId="2FC8C937" w14:textId="77777777" w:rsidR="008B197E" w:rsidRDefault="008B197E" w:rsidP="004159B4">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44DC2044" w14:textId="78AE685F" w:rsidR="008B197E" w:rsidRDefault="004159B4">
      <w:pPr>
        <w:pStyle w:val="Paper-Title"/>
      </w:pPr>
      <w:r>
        <w:lastRenderedPageBreak/>
        <w:br/>
      </w:r>
      <w:r w:rsidR="008B197E">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AE7A2" w14:textId="77777777" w:rsidR="000A3BDD" w:rsidRDefault="000A3BDD">
      <w:r>
        <w:separator/>
      </w:r>
    </w:p>
  </w:endnote>
  <w:endnote w:type="continuationSeparator" w:id="0">
    <w:p w14:paraId="59144E86" w14:textId="77777777" w:rsidR="000A3BDD" w:rsidRDefault="000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BFA30" w14:textId="77777777" w:rsidR="002A47EE" w:rsidRDefault="002A47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79DACE" w14:textId="77777777" w:rsidR="002A47EE" w:rsidRDefault="002A47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AB4BA" w14:textId="77777777" w:rsidR="000A3BDD" w:rsidRDefault="000A3BDD">
      <w:r>
        <w:separator/>
      </w:r>
    </w:p>
  </w:footnote>
  <w:footnote w:type="continuationSeparator" w:id="0">
    <w:p w14:paraId="0B414A9B" w14:textId="77777777" w:rsidR="000A3BDD" w:rsidRDefault="000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466398E"/>
    <w:multiLevelType w:val="multilevel"/>
    <w:tmpl w:val="7F02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E70A4"/>
    <w:multiLevelType w:val="multilevel"/>
    <w:tmpl w:val="4676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9BD20B4"/>
    <w:multiLevelType w:val="hybridMultilevel"/>
    <w:tmpl w:val="88E68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14E7"/>
    <w:rsid w:val="00031A78"/>
    <w:rsid w:val="000355F6"/>
    <w:rsid w:val="00062467"/>
    <w:rsid w:val="000726F1"/>
    <w:rsid w:val="00085596"/>
    <w:rsid w:val="00094262"/>
    <w:rsid w:val="0009634A"/>
    <w:rsid w:val="000A3BDD"/>
    <w:rsid w:val="000A6043"/>
    <w:rsid w:val="000C6668"/>
    <w:rsid w:val="000E39B2"/>
    <w:rsid w:val="00110A53"/>
    <w:rsid w:val="00134238"/>
    <w:rsid w:val="001378B9"/>
    <w:rsid w:val="00147ADC"/>
    <w:rsid w:val="0015190B"/>
    <w:rsid w:val="0015725B"/>
    <w:rsid w:val="001578EE"/>
    <w:rsid w:val="00157AF3"/>
    <w:rsid w:val="00160300"/>
    <w:rsid w:val="00172159"/>
    <w:rsid w:val="001A4A6B"/>
    <w:rsid w:val="001D0BA3"/>
    <w:rsid w:val="001E4A9D"/>
    <w:rsid w:val="001F4AAC"/>
    <w:rsid w:val="00206035"/>
    <w:rsid w:val="00243904"/>
    <w:rsid w:val="00262B31"/>
    <w:rsid w:val="00276401"/>
    <w:rsid w:val="0027698B"/>
    <w:rsid w:val="002A47EE"/>
    <w:rsid w:val="002C5180"/>
    <w:rsid w:val="002D2C9C"/>
    <w:rsid w:val="002D4A77"/>
    <w:rsid w:val="002D6A57"/>
    <w:rsid w:val="002E1A76"/>
    <w:rsid w:val="00300D4B"/>
    <w:rsid w:val="00352DCC"/>
    <w:rsid w:val="00357A63"/>
    <w:rsid w:val="00375299"/>
    <w:rsid w:val="00377A65"/>
    <w:rsid w:val="003A3836"/>
    <w:rsid w:val="003B05E7"/>
    <w:rsid w:val="003B122E"/>
    <w:rsid w:val="003B185F"/>
    <w:rsid w:val="003B193C"/>
    <w:rsid w:val="003B4153"/>
    <w:rsid w:val="003C2D4E"/>
    <w:rsid w:val="003C5AF1"/>
    <w:rsid w:val="003D13F6"/>
    <w:rsid w:val="003D24E5"/>
    <w:rsid w:val="003E2F4B"/>
    <w:rsid w:val="003E3258"/>
    <w:rsid w:val="00401EC2"/>
    <w:rsid w:val="00410683"/>
    <w:rsid w:val="004159B4"/>
    <w:rsid w:val="00424941"/>
    <w:rsid w:val="00452FAC"/>
    <w:rsid w:val="00460B48"/>
    <w:rsid w:val="00466541"/>
    <w:rsid w:val="00474255"/>
    <w:rsid w:val="00482B3D"/>
    <w:rsid w:val="00491876"/>
    <w:rsid w:val="004C1587"/>
    <w:rsid w:val="004D68FC"/>
    <w:rsid w:val="004F432D"/>
    <w:rsid w:val="00506ABA"/>
    <w:rsid w:val="00531B01"/>
    <w:rsid w:val="00536430"/>
    <w:rsid w:val="00560990"/>
    <w:rsid w:val="00571CED"/>
    <w:rsid w:val="005773E9"/>
    <w:rsid w:val="00580E69"/>
    <w:rsid w:val="005842F9"/>
    <w:rsid w:val="005A37CB"/>
    <w:rsid w:val="005B55EF"/>
    <w:rsid w:val="005B6A93"/>
    <w:rsid w:val="005C45F1"/>
    <w:rsid w:val="005C6DC9"/>
    <w:rsid w:val="005C74AB"/>
    <w:rsid w:val="005D28A1"/>
    <w:rsid w:val="005D2B69"/>
    <w:rsid w:val="005D7892"/>
    <w:rsid w:val="00602357"/>
    <w:rsid w:val="00603A4D"/>
    <w:rsid w:val="006043D0"/>
    <w:rsid w:val="00607D96"/>
    <w:rsid w:val="00614150"/>
    <w:rsid w:val="00614F23"/>
    <w:rsid w:val="0061710B"/>
    <w:rsid w:val="0062115B"/>
    <w:rsid w:val="0062758A"/>
    <w:rsid w:val="006337AC"/>
    <w:rsid w:val="00657030"/>
    <w:rsid w:val="0068547D"/>
    <w:rsid w:val="0069356A"/>
    <w:rsid w:val="0069730F"/>
    <w:rsid w:val="006A044B"/>
    <w:rsid w:val="006A0BB7"/>
    <w:rsid w:val="006A1FA3"/>
    <w:rsid w:val="006D3A40"/>
    <w:rsid w:val="006D451E"/>
    <w:rsid w:val="00720EDC"/>
    <w:rsid w:val="00726121"/>
    <w:rsid w:val="00737114"/>
    <w:rsid w:val="00777CFA"/>
    <w:rsid w:val="00787583"/>
    <w:rsid w:val="00787AE1"/>
    <w:rsid w:val="00793DF2"/>
    <w:rsid w:val="007C08CF"/>
    <w:rsid w:val="007C3600"/>
    <w:rsid w:val="007E7A09"/>
    <w:rsid w:val="007F39D5"/>
    <w:rsid w:val="008014C0"/>
    <w:rsid w:val="00816EA8"/>
    <w:rsid w:val="008525CC"/>
    <w:rsid w:val="008536AF"/>
    <w:rsid w:val="00872EAC"/>
    <w:rsid w:val="0087467E"/>
    <w:rsid w:val="00891714"/>
    <w:rsid w:val="008B0897"/>
    <w:rsid w:val="008B197E"/>
    <w:rsid w:val="008B1A77"/>
    <w:rsid w:val="008C06BD"/>
    <w:rsid w:val="008D72E4"/>
    <w:rsid w:val="008F7414"/>
    <w:rsid w:val="009075E2"/>
    <w:rsid w:val="00941EFD"/>
    <w:rsid w:val="0094795E"/>
    <w:rsid w:val="00963711"/>
    <w:rsid w:val="00965A66"/>
    <w:rsid w:val="009710E9"/>
    <w:rsid w:val="009777DF"/>
    <w:rsid w:val="00980393"/>
    <w:rsid w:val="009B672F"/>
    <w:rsid w:val="009B701B"/>
    <w:rsid w:val="009D7B5B"/>
    <w:rsid w:val="009F334B"/>
    <w:rsid w:val="00A105B5"/>
    <w:rsid w:val="00A21F94"/>
    <w:rsid w:val="00A31DB6"/>
    <w:rsid w:val="00A42B35"/>
    <w:rsid w:val="00A56D21"/>
    <w:rsid w:val="00A60B73"/>
    <w:rsid w:val="00A66E61"/>
    <w:rsid w:val="00A93961"/>
    <w:rsid w:val="00AA3AEA"/>
    <w:rsid w:val="00AA718F"/>
    <w:rsid w:val="00AB3AE9"/>
    <w:rsid w:val="00AE2664"/>
    <w:rsid w:val="00AF7809"/>
    <w:rsid w:val="00B11FB8"/>
    <w:rsid w:val="00B365A2"/>
    <w:rsid w:val="00B47D72"/>
    <w:rsid w:val="00B606DF"/>
    <w:rsid w:val="00B63EF4"/>
    <w:rsid w:val="00B63F89"/>
    <w:rsid w:val="00B91AA9"/>
    <w:rsid w:val="00BC4C60"/>
    <w:rsid w:val="00BD4C7A"/>
    <w:rsid w:val="00BF3697"/>
    <w:rsid w:val="00BF61A1"/>
    <w:rsid w:val="00C15F8B"/>
    <w:rsid w:val="00C7341D"/>
    <w:rsid w:val="00C7584B"/>
    <w:rsid w:val="00C87026"/>
    <w:rsid w:val="00CB29DC"/>
    <w:rsid w:val="00CB4646"/>
    <w:rsid w:val="00CB5FCB"/>
    <w:rsid w:val="00CC0277"/>
    <w:rsid w:val="00CC70B8"/>
    <w:rsid w:val="00CD2515"/>
    <w:rsid w:val="00CD7EC6"/>
    <w:rsid w:val="00CE5179"/>
    <w:rsid w:val="00CF061D"/>
    <w:rsid w:val="00D14BF4"/>
    <w:rsid w:val="00D1742E"/>
    <w:rsid w:val="00D3292B"/>
    <w:rsid w:val="00D54A80"/>
    <w:rsid w:val="00D94A1E"/>
    <w:rsid w:val="00D95465"/>
    <w:rsid w:val="00DA70EA"/>
    <w:rsid w:val="00DA748F"/>
    <w:rsid w:val="00DB7AD4"/>
    <w:rsid w:val="00DC39C5"/>
    <w:rsid w:val="00DD7F4C"/>
    <w:rsid w:val="00E26518"/>
    <w:rsid w:val="00E3178B"/>
    <w:rsid w:val="00E373D9"/>
    <w:rsid w:val="00E44215"/>
    <w:rsid w:val="00E57862"/>
    <w:rsid w:val="00E67E22"/>
    <w:rsid w:val="00E737AA"/>
    <w:rsid w:val="00E873A2"/>
    <w:rsid w:val="00E87FB0"/>
    <w:rsid w:val="00EC1F6A"/>
    <w:rsid w:val="00ED20B6"/>
    <w:rsid w:val="00ED3D93"/>
    <w:rsid w:val="00F025FD"/>
    <w:rsid w:val="00F039F6"/>
    <w:rsid w:val="00F34659"/>
    <w:rsid w:val="00F50B82"/>
    <w:rsid w:val="00F55A87"/>
    <w:rsid w:val="00F5619A"/>
    <w:rsid w:val="00F74FEC"/>
    <w:rsid w:val="00F96495"/>
    <w:rsid w:val="00FA3929"/>
    <w:rsid w:val="00FC7A93"/>
    <w:rsid w:val="00FD5591"/>
    <w:rsid w:val="00FE7F8C"/>
    <w:rsid w:val="00FF61F9"/>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5B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424941"/>
    <w:pPr>
      <w:spacing w:after="12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6337AC"/>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37AC"/>
    <w:rPr>
      <w:rFonts w:ascii="Lucida Grande" w:hAnsi="Lucida Grande" w:cs="Lucida Grande"/>
      <w:sz w:val="18"/>
      <w:szCs w:val="18"/>
    </w:rPr>
  </w:style>
  <w:style w:type="paragraph" w:styleId="NormalWeb">
    <w:name w:val="Normal (Web)"/>
    <w:basedOn w:val="Normal"/>
    <w:uiPriority w:val="99"/>
    <w:semiHidden/>
    <w:unhideWhenUsed/>
    <w:rsid w:val="003C2D4E"/>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1419">
      <w:bodyDiv w:val="1"/>
      <w:marLeft w:val="0"/>
      <w:marRight w:val="0"/>
      <w:marTop w:val="0"/>
      <w:marBottom w:val="0"/>
      <w:divBdr>
        <w:top w:val="none" w:sz="0" w:space="0" w:color="auto"/>
        <w:left w:val="none" w:sz="0" w:space="0" w:color="auto"/>
        <w:bottom w:val="none" w:sz="0" w:space="0" w:color="auto"/>
        <w:right w:val="none" w:sz="0" w:space="0" w:color="auto"/>
      </w:divBdr>
    </w:div>
    <w:div w:id="282225025">
      <w:bodyDiv w:val="1"/>
      <w:marLeft w:val="0"/>
      <w:marRight w:val="0"/>
      <w:marTop w:val="0"/>
      <w:marBottom w:val="0"/>
      <w:divBdr>
        <w:top w:val="none" w:sz="0" w:space="0" w:color="auto"/>
        <w:left w:val="none" w:sz="0" w:space="0" w:color="auto"/>
        <w:bottom w:val="none" w:sz="0" w:space="0" w:color="auto"/>
        <w:right w:val="none" w:sz="0" w:space="0" w:color="auto"/>
      </w:divBdr>
    </w:div>
    <w:div w:id="364673463">
      <w:bodyDiv w:val="1"/>
      <w:marLeft w:val="0"/>
      <w:marRight w:val="0"/>
      <w:marTop w:val="0"/>
      <w:marBottom w:val="0"/>
      <w:divBdr>
        <w:top w:val="none" w:sz="0" w:space="0" w:color="auto"/>
        <w:left w:val="none" w:sz="0" w:space="0" w:color="auto"/>
        <w:bottom w:val="none" w:sz="0" w:space="0" w:color="auto"/>
        <w:right w:val="none" w:sz="0" w:space="0" w:color="auto"/>
      </w:divBdr>
    </w:div>
    <w:div w:id="575868595">
      <w:bodyDiv w:val="1"/>
      <w:marLeft w:val="0"/>
      <w:marRight w:val="0"/>
      <w:marTop w:val="0"/>
      <w:marBottom w:val="0"/>
      <w:divBdr>
        <w:top w:val="none" w:sz="0" w:space="0" w:color="auto"/>
        <w:left w:val="none" w:sz="0" w:space="0" w:color="auto"/>
        <w:bottom w:val="none" w:sz="0" w:space="0" w:color="auto"/>
        <w:right w:val="none" w:sz="0" w:space="0" w:color="auto"/>
      </w:divBdr>
    </w:div>
    <w:div w:id="598373220">
      <w:bodyDiv w:val="1"/>
      <w:marLeft w:val="0"/>
      <w:marRight w:val="0"/>
      <w:marTop w:val="0"/>
      <w:marBottom w:val="0"/>
      <w:divBdr>
        <w:top w:val="none" w:sz="0" w:space="0" w:color="auto"/>
        <w:left w:val="none" w:sz="0" w:space="0" w:color="auto"/>
        <w:bottom w:val="none" w:sz="0" w:space="0" w:color="auto"/>
        <w:right w:val="none" w:sz="0" w:space="0" w:color="auto"/>
      </w:divBdr>
    </w:div>
    <w:div w:id="614141940">
      <w:bodyDiv w:val="1"/>
      <w:marLeft w:val="0"/>
      <w:marRight w:val="0"/>
      <w:marTop w:val="0"/>
      <w:marBottom w:val="0"/>
      <w:divBdr>
        <w:top w:val="none" w:sz="0" w:space="0" w:color="auto"/>
        <w:left w:val="none" w:sz="0" w:space="0" w:color="auto"/>
        <w:bottom w:val="none" w:sz="0" w:space="0" w:color="auto"/>
        <w:right w:val="none" w:sz="0" w:space="0" w:color="auto"/>
      </w:divBdr>
    </w:div>
    <w:div w:id="658508659">
      <w:bodyDiv w:val="1"/>
      <w:marLeft w:val="0"/>
      <w:marRight w:val="0"/>
      <w:marTop w:val="0"/>
      <w:marBottom w:val="0"/>
      <w:divBdr>
        <w:top w:val="none" w:sz="0" w:space="0" w:color="auto"/>
        <w:left w:val="none" w:sz="0" w:space="0" w:color="auto"/>
        <w:bottom w:val="none" w:sz="0" w:space="0" w:color="auto"/>
        <w:right w:val="none" w:sz="0" w:space="0" w:color="auto"/>
      </w:divBdr>
    </w:div>
    <w:div w:id="700014320">
      <w:bodyDiv w:val="1"/>
      <w:marLeft w:val="0"/>
      <w:marRight w:val="0"/>
      <w:marTop w:val="0"/>
      <w:marBottom w:val="0"/>
      <w:divBdr>
        <w:top w:val="none" w:sz="0" w:space="0" w:color="auto"/>
        <w:left w:val="none" w:sz="0" w:space="0" w:color="auto"/>
        <w:bottom w:val="none" w:sz="0" w:space="0" w:color="auto"/>
        <w:right w:val="none" w:sz="0" w:space="0" w:color="auto"/>
      </w:divBdr>
    </w:div>
    <w:div w:id="734855470">
      <w:bodyDiv w:val="1"/>
      <w:marLeft w:val="0"/>
      <w:marRight w:val="0"/>
      <w:marTop w:val="0"/>
      <w:marBottom w:val="0"/>
      <w:divBdr>
        <w:top w:val="none" w:sz="0" w:space="0" w:color="auto"/>
        <w:left w:val="none" w:sz="0" w:space="0" w:color="auto"/>
        <w:bottom w:val="none" w:sz="0" w:space="0" w:color="auto"/>
        <w:right w:val="none" w:sz="0" w:space="0" w:color="auto"/>
      </w:divBdr>
    </w:div>
    <w:div w:id="807674488">
      <w:bodyDiv w:val="1"/>
      <w:marLeft w:val="0"/>
      <w:marRight w:val="0"/>
      <w:marTop w:val="0"/>
      <w:marBottom w:val="0"/>
      <w:divBdr>
        <w:top w:val="none" w:sz="0" w:space="0" w:color="auto"/>
        <w:left w:val="none" w:sz="0" w:space="0" w:color="auto"/>
        <w:bottom w:val="none" w:sz="0" w:space="0" w:color="auto"/>
        <w:right w:val="none" w:sz="0" w:space="0" w:color="auto"/>
      </w:divBdr>
    </w:div>
    <w:div w:id="849947697">
      <w:bodyDiv w:val="1"/>
      <w:marLeft w:val="0"/>
      <w:marRight w:val="0"/>
      <w:marTop w:val="0"/>
      <w:marBottom w:val="0"/>
      <w:divBdr>
        <w:top w:val="none" w:sz="0" w:space="0" w:color="auto"/>
        <w:left w:val="none" w:sz="0" w:space="0" w:color="auto"/>
        <w:bottom w:val="none" w:sz="0" w:space="0" w:color="auto"/>
        <w:right w:val="none" w:sz="0" w:space="0" w:color="auto"/>
      </w:divBdr>
    </w:div>
    <w:div w:id="871459027">
      <w:bodyDiv w:val="1"/>
      <w:marLeft w:val="0"/>
      <w:marRight w:val="0"/>
      <w:marTop w:val="0"/>
      <w:marBottom w:val="0"/>
      <w:divBdr>
        <w:top w:val="none" w:sz="0" w:space="0" w:color="auto"/>
        <w:left w:val="none" w:sz="0" w:space="0" w:color="auto"/>
        <w:bottom w:val="none" w:sz="0" w:space="0" w:color="auto"/>
        <w:right w:val="none" w:sz="0" w:space="0" w:color="auto"/>
      </w:divBdr>
    </w:div>
    <w:div w:id="1257783256">
      <w:bodyDiv w:val="1"/>
      <w:marLeft w:val="0"/>
      <w:marRight w:val="0"/>
      <w:marTop w:val="0"/>
      <w:marBottom w:val="0"/>
      <w:divBdr>
        <w:top w:val="none" w:sz="0" w:space="0" w:color="auto"/>
        <w:left w:val="none" w:sz="0" w:space="0" w:color="auto"/>
        <w:bottom w:val="none" w:sz="0" w:space="0" w:color="auto"/>
        <w:right w:val="none" w:sz="0" w:space="0" w:color="auto"/>
      </w:divBdr>
    </w:div>
    <w:div w:id="1536502424">
      <w:bodyDiv w:val="1"/>
      <w:marLeft w:val="0"/>
      <w:marRight w:val="0"/>
      <w:marTop w:val="0"/>
      <w:marBottom w:val="0"/>
      <w:divBdr>
        <w:top w:val="none" w:sz="0" w:space="0" w:color="auto"/>
        <w:left w:val="none" w:sz="0" w:space="0" w:color="auto"/>
        <w:bottom w:val="none" w:sz="0" w:space="0" w:color="auto"/>
        <w:right w:val="none" w:sz="0" w:space="0" w:color="auto"/>
      </w:divBdr>
    </w:div>
    <w:div w:id="1599211961">
      <w:bodyDiv w:val="1"/>
      <w:marLeft w:val="0"/>
      <w:marRight w:val="0"/>
      <w:marTop w:val="0"/>
      <w:marBottom w:val="0"/>
      <w:divBdr>
        <w:top w:val="none" w:sz="0" w:space="0" w:color="auto"/>
        <w:left w:val="none" w:sz="0" w:space="0" w:color="auto"/>
        <w:bottom w:val="none" w:sz="0" w:space="0" w:color="auto"/>
        <w:right w:val="none" w:sz="0" w:space="0" w:color="auto"/>
      </w:divBdr>
    </w:div>
    <w:div w:id="1627128299">
      <w:bodyDiv w:val="1"/>
      <w:marLeft w:val="0"/>
      <w:marRight w:val="0"/>
      <w:marTop w:val="0"/>
      <w:marBottom w:val="0"/>
      <w:divBdr>
        <w:top w:val="none" w:sz="0" w:space="0" w:color="auto"/>
        <w:left w:val="none" w:sz="0" w:space="0" w:color="auto"/>
        <w:bottom w:val="none" w:sz="0" w:space="0" w:color="auto"/>
        <w:right w:val="none" w:sz="0" w:space="0" w:color="auto"/>
      </w:divBdr>
    </w:div>
    <w:div w:id="1695613014">
      <w:bodyDiv w:val="1"/>
      <w:marLeft w:val="0"/>
      <w:marRight w:val="0"/>
      <w:marTop w:val="0"/>
      <w:marBottom w:val="0"/>
      <w:divBdr>
        <w:top w:val="none" w:sz="0" w:space="0" w:color="auto"/>
        <w:left w:val="none" w:sz="0" w:space="0" w:color="auto"/>
        <w:bottom w:val="none" w:sz="0" w:space="0" w:color="auto"/>
        <w:right w:val="none" w:sz="0" w:space="0" w:color="auto"/>
      </w:divBdr>
    </w:div>
    <w:div w:id="1748111785">
      <w:bodyDiv w:val="1"/>
      <w:marLeft w:val="0"/>
      <w:marRight w:val="0"/>
      <w:marTop w:val="0"/>
      <w:marBottom w:val="0"/>
      <w:divBdr>
        <w:top w:val="none" w:sz="0" w:space="0" w:color="auto"/>
        <w:left w:val="none" w:sz="0" w:space="0" w:color="auto"/>
        <w:bottom w:val="none" w:sz="0" w:space="0" w:color="auto"/>
        <w:right w:val="none" w:sz="0" w:space="0" w:color="auto"/>
      </w:divBdr>
    </w:div>
    <w:div w:id="1772897841">
      <w:bodyDiv w:val="1"/>
      <w:marLeft w:val="0"/>
      <w:marRight w:val="0"/>
      <w:marTop w:val="0"/>
      <w:marBottom w:val="0"/>
      <w:divBdr>
        <w:top w:val="none" w:sz="0" w:space="0" w:color="auto"/>
        <w:left w:val="none" w:sz="0" w:space="0" w:color="auto"/>
        <w:bottom w:val="none" w:sz="0" w:space="0" w:color="auto"/>
        <w:right w:val="none" w:sz="0" w:space="0" w:color="auto"/>
      </w:divBdr>
    </w:div>
    <w:div w:id="1781485905">
      <w:bodyDiv w:val="1"/>
      <w:marLeft w:val="0"/>
      <w:marRight w:val="0"/>
      <w:marTop w:val="0"/>
      <w:marBottom w:val="0"/>
      <w:divBdr>
        <w:top w:val="none" w:sz="0" w:space="0" w:color="auto"/>
        <w:left w:val="none" w:sz="0" w:space="0" w:color="auto"/>
        <w:bottom w:val="none" w:sz="0" w:space="0" w:color="auto"/>
        <w:right w:val="none" w:sz="0" w:space="0" w:color="auto"/>
      </w:divBdr>
    </w:div>
    <w:div w:id="1795173777">
      <w:bodyDiv w:val="1"/>
      <w:marLeft w:val="0"/>
      <w:marRight w:val="0"/>
      <w:marTop w:val="0"/>
      <w:marBottom w:val="0"/>
      <w:divBdr>
        <w:top w:val="none" w:sz="0" w:space="0" w:color="auto"/>
        <w:left w:val="none" w:sz="0" w:space="0" w:color="auto"/>
        <w:bottom w:val="none" w:sz="0" w:space="0" w:color="auto"/>
        <w:right w:val="none" w:sz="0" w:space="0" w:color="auto"/>
      </w:divBdr>
    </w:div>
    <w:div w:id="1885865426">
      <w:bodyDiv w:val="1"/>
      <w:marLeft w:val="0"/>
      <w:marRight w:val="0"/>
      <w:marTop w:val="0"/>
      <w:marBottom w:val="0"/>
      <w:divBdr>
        <w:top w:val="none" w:sz="0" w:space="0" w:color="auto"/>
        <w:left w:val="none" w:sz="0" w:space="0" w:color="auto"/>
        <w:bottom w:val="none" w:sz="0" w:space="0" w:color="auto"/>
        <w:right w:val="none" w:sz="0" w:space="0" w:color="auto"/>
      </w:divBdr>
    </w:div>
    <w:div w:id="1914469207">
      <w:bodyDiv w:val="1"/>
      <w:marLeft w:val="0"/>
      <w:marRight w:val="0"/>
      <w:marTop w:val="0"/>
      <w:marBottom w:val="0"/>
      <w:divBdr>
        <w:top w:val="none" w:sz="0" w:space="0" w:color="auto"/>
        <w:left w:val="none" w:sz="0" w:space="0" w:color="auto"/>
        <w:bottom w:val="none" w:sz="0" w:space="0" w:color="auto"/>
        <w:right w:val="none" w:sz="0" w:space="0" w:color="auto"/>
      </w:divBdr>
    </w:div>
    <w:div w:id="1950627465">
      <w:bodyDiv w:val="1"/>
      <w:marLeft w:val="0"/>
      <w:marRight w:val="0"/>
      <w:marTop w:val="0"/>
      <w:marBottom w:val="0"/>
      <w:divBdr>
        <w:top w:val="none" w:sz="0" w:space="0" w:color="auto"/>
        <w:left w:val="none" w:sz="0" w:space="0" w:color="auto"/>
        <w:bottom w:val="none" w:sz="0" w:space="0" w:color="auto"/>
        <w:right w:val="none" w:sz="0" w:space="0" w:color="auto"/>
      </w:divBdr>
    </w:div>
    <w:div w:id="20830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www.centerforcommunicatingscience.org/what-is-a-fl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61D1A-0691-F44A-8A5F-FF42038F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3486</Words>
  <Characters>19874</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23314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Ben Schreiber</cp:lastModifiedBy>
  <cp:revision>3</cp:revision>
  <cp:lastPrinted>2011-01-13T15:51:00Z</cp:lastPrinted>
  <dcterms:created xsi:type="dcterms:W3CDTF">2016-08-24T02:37:00Z</dcterms:created>
  <dcterms:modified xsi:type="dcterms:W3CDTF">2016-08-24T04:53:00Z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