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DE46C" w14:textId="6ACF2EFF" w:rsidR="005215E0" w:rsidRDefault="004C4016">
      <w:pPr>
        <w:rPr>
          <w:u w:val="single"/>
        </w:rPr>
      </w:pPr>
      <w:r w:rsidRPr="004C4016">
        <w:rPr>
          <w:u w:val="single"/>
        </w:rPr>
        <w:t xml:space="preserve">Aufgabe </w:t>
      </w:r>
      <w:r w:rsidR="00AC5A29">
        <w:rPr>
          <w:u w:val="single"/>
        </w:rPr>
        <w:t>7</w:t>
      </w:r>
    </w:p>
    <w:p w14:paraId="602F2024" w14:textId="3A8AA382" w:rsidR="004C4016" w:rsidRDefault="004C4016">
      <w:r>
        <w:t>Die Aufgabe wurde mittels des Matlab-Skripts „Aufgabe7/sieben_Rob_Simulink.mlx“ und der Simulik-Datei „Augabe7/sl_robreg1_CR_MM_dezPD.slx“ umgesetzt.</w:t>
      </w:r>
    </w:p>
    <w:p w14:paraId="2B76E350" w14:textId="4C235799" w:rsidR="00311E9E" w:rsidRDefault="00311E9E">
      <w:r>
        <w:t xml:space="preserve">PD-Regler (PD = </w:t>
      </w:r>
      <w:r w:rsidRPr="00311E9E">
        <w:t>Proportional-Derivativ</w:t>
      </w:r>
      <w:r>
        <w:t>)</w:t>
      </w:r>
      <w:r w:rsidR="004366EA">
        <w:t xml:space="preserve"> sind einfach in der Implementierung und im Tuning. Selbst ohne ein komplexes dynamisches Modell kann durch die dezentrale Berechnung eine Bahn im Gelenkraum ermittelt werden. Außerdem sorgen PD-Regler für gut gedämpfte Bewegungen mit minimalen Oszillationen. Damit sinkt auch der Rechenaufwand, da ein Regler nur Positions- und Geschwindigkeitsdifferenzen, aber keine Kopplungseffekte benötigt.</w:t>
      </w:r>
    </w:p>
    <w:p w14:paraId="0DEB830F" w14:textId="558EBCAA" w:rsidR="004366EA" w:rsidRDefault="004366EA">
      <w:pPr>
        <w:rPr>
          <w:rFonts w:eastAsiaTheme="minorEastAsia"/>
        </w:rPr>
      </w:pPr>
      <w:r>
        <w:t>Die Regelung erfolgt durch die Formel:</w:t>
      </w:r>
      <w:r>
        <w:tab/>
        <w:t xml:space="preserve"> </w:t>
      </w:r>
      <m:oMath>
        <m:r>
          <w:rPr>
            <w:rFonts w:ascii="Cambria Math" w:hAnsi="Cambria Math"/>
          </w:rPr>
          <m:t>τ=</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d</m:t>
                </m:r>
              </m:sub>
            </m:sSub>
            <m:r>
              <w:rPr>
                <w:rFonts w:ascii="Cambria Math" w:hAnsi="Cambria Math"/>
              </w:rPr>
              <m:t>-</m:t>
            </m:r>
            <m:acc>
              <m:accPr>
                <m:chr m:val="̇"/>
                <m:ctrlPr>
                  <w:rPr>
                    <w:rFonts w:ascii="Cambria Math" w:hAnsi="Cambria Math"/>
                    <w:i/>
                  </w:rPr>
                </m:ctrlPr>
              </m:accPr>
              <m:e>
                <m:r>
                  <w:rPr>
                    <w:rFonts w:ascii="Cambria Math" w:hAnsi="Cambria Math"/>
                  </w:rPr>
                  <m:t>q</m:t>
                </m:r>
              </m:e>
            </m:acc>
          </m:e>
        </m:d>
      </m:oMath>
    </w:p>
    <w:p w14:paraId="7B8A1361" w14:textId="0BEDF3FC" w:rsidR="004366EA" w:rsidRDefault="004366EA">
      <w:r>
        <w:rPr>
          <w:rFonts w:eastAsiaTheme="minorEastAsia"/>
        </w:rPr>
        <w:t>Der Nachteil besteht darin, dass nichtlineare Effekte wie die Corioliskräfte, Trägheiten und Gravitation nicht berücksichtigt werden. Außerdem können schnelle Bewegungen und hohe Lasten zu ungenauerer Bahnverfolgung führen.</w:t>
      </w:r>
      <w:r w:rsidR="004E0F7A">
        <w:rPr>
          <w:rFonts w:eastAsiaTheme="minorEastAsia"/>
        </w:rPr>
        <w:t xml:space="preserve"> Somit muss der Regler bei neuen Lasten oder anderen Geschwindigkeiten neu abgestimmt werden. In </w:t>
      </w:r>
      <w:r w:rsidR="004E0F7A">
        <w:rPr>
          <w:rFonts w:eastAsiaTheme="minorEastAsia"/>
        </w:rPr>
        <w:fldChar w:fldCharType="begin"/>
      </w:r>
      <w:r w:rsidR="004E0F7A">
        <w:rPr>
          <w:rFonts w:eastAsiaTheme="minorEastAsia"/>
        </w:rPr>
        <w:instrText xml:space="preserve"> REF _Ref192677419 \h </w:instrText>
      </w:r>
      <w:r w:rsidR="004E0F7A">
        <w:rPr>
          <w:rFonts w:eastAsiaTheme="minorEastAsia"/>
        </w:rPr>
      </w:r>
      <w:r w:rsidR="004E0F7A">
        <w:rPr>
          <w:rFonts w:eastAsiaTheme="minorEastAsia"/>
        </w:rPr>
        <w:fldChar w:fldCharType="separate"/>
      </w:r>
      <w:r w:rsidR="004E0F7A">
        <w:t xml:space="preserve">Abbildung </w:t>
      </w:r>
      <w:r w:rsidR="004E0F7A">
        <w:rPr>
          <w:noProof/>
        </w:rPr>
        <w:t>1</w:t>
      </w:r>
      <w:r w:rsidR="004E0F7A">
        <w:rPr>
          <w:rFonts w:eastAsiaTheme="minorEastAsia"/>
        </w:rPr>
        <w:fldChar w:fldCharType="end"/>
      </w:r>
      <w:r w:rsidR="004E0F7A">
        <w:rPr>
          <w:rFonts w:eastAsiaTheme="minorEastAsia"/>
        </w:rPr>
        <w:t xml:space="preserve"> ist das zugehörige Simulink-Model sichtbar.</w:t>
      </w:r>
    </w:p>
    <w:p w14:paraId="6DD69598" w14:textId="77777777" w:rsidR="004E0F7A" w:rsidRDefault="004E0F7A" w:rsidP="004E0F7A">
      <w:pPr>
        <w:keepNext/>
      </w:pPr>
      <w:r>
        <w:rPr>
          <w:noProof/>
        </w:rPr>
        <w:drawing>
          <wp:inline distT="0" distB="0" distL="0" distR="0" wp14:anchorId="47C4B7F3" wp14:editId="69E8695C">
            <wp:extent cx="5745480" cy="2743200"/>
            <wp:effectExtent l="0" t="0" r="7620" b="0"/>
            <wp:docPr id="70352007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5480" cy="2743200"/>
                    </a:xfrm>
                    <a:prstGeom prst="rect">
                      <a:avLst/>
                    </a:prstGeom>
                    <a:noFill/>
                    <a:ln>
                      <a:noFill/>
                    </a:ln>
                  </pic:spPr>
                </pic:pic>
              </a:graphicData>
            </a:graphic>
          </wp:inline>
        </w:drawing>
      </w:r>
    </w:p>
    <w:p w14:paraId="30445728" w14:textId="6694C9B3" w:rsidR="004E0F7A" w:rsidRDefault="004E0F7A" w:rsidP="004E0F7A">
      <w:pPr>
        <w:pStyle w:val="Beschriftung"/>
      </w:pPr>
      <w:bookmarkStart w:id="0" w:name="_Ref192677419"/>
      <w:r>
        <w:t xml:space="preserve">Abbildung </w:t>
      </w:r>
      <w:r>
        <w:fldChar w:fldCharType="begin"/>
      </w:r>
      <w:r>
        <w:instrText xml:space="preserve"> SEQ Abbildung \* ARABIC </w:instrText>
      </w:r>
      <w:r>
        <w:fldChar w:fldCharType="separate"/>
      </w:r>
      <w:r>
        <w:rPr>
          <w:noProof/>
        </w:rPr>
        <w:t>1</w:t>
      </w:r>
      <w:r>
        <w:rPr>
          <w:noProof/>
        </w:rPr>
        <w:fldChar w:fldCharType="end"/>
      </w:r>
      <w:bookmarkEnd w:id="0"/>
      <w:r>
        <w:t>: Simulink-Model</w:t>
      </w:r>
    </w:p>
    <w:p w14:paraId="0D2ED22C" w14:textId="77777777" w:rsidR="004E0F7A" w:rsidRDefault="004E0F7A" w:rsidP="004E0F7A">
      <w:r>
        <w:t>Das Skript beginnt mit dem Laden des Roboter-Modells und der Spezifikation der Bahnpunkte. Hier wurden die Bahnpunkte aus der vorherigen Aufgabe verwendet.</w:t>
      </w:r>
    </w:p>
    <w:p w14:paraId="7F97E682" w14:textId="23A4011D" w:rsidR="00AD7DB9" w:rsidRDefault="00AC5A29">
      <w:r>
        <w:t>Nachfolgend wird eine Trajektorienplanung im Gelenkraum (Joint Space) durchgeführt. Die Gelenkwinkel werden dabei mittels Inverser Kinematik aus den Bahnpunkten berechnet</w:t>
      </w:r>
      <w:r w:rsidR="00AD7DB9">
        <w:t xml:space="preserve"> und in C1 bis C7 gespeichert. Aus diesen Gelenkkonfigurationen wird mittels trapveltraj() eine Bahn im Gelenkraum mit jeweils linearer Beschleunigung, konstanter Geschwindigkeit und linearer Verzögerung erzeugt. Dieses trapezförmige Geschwindigkeitsprofil sorgt für eine glatte Bewegung ohne Sprünge in der </w:t>
      </w:r>
      <w:r w:rsidR="00AD7DB9">
        <w:lastRenderedPageBreak/>
        <w:t>Geschwindigkeit unter Einhaltung der kinematischen und dynamischen Beschränkungen des Roboters.</w:t>
      </w:r>
    </w:p>
    <w:p w14:paraId="20E62C94" w14:textId="77777777" w:rsidR="00AD7DB9" w:rsidRDefault="00AD7DB9" w:rsidP="00AD7DB9">
      <w:pPr>
        <w:keepNext/>
      </w:pPr>
      <w:r>
        <w:rPr>
          <w:noProof/>
        </w:rPr>
        <w:drawing>
          <wp:inline distT="0" distB="0" distL="0" distR="0" wp14:anchorId="369499BF" wp14:editId="3773A0B1">
            <wp:extent cx="5745480" cy="3209290"/>
            <wp:effectExtent l="0" t="0" r="7620" b="0"/>
            <wp:docPr id="2270970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5480" cy="3209290"/>
                    </a:xfrm>
                    <a:prstGeom prst="rect">
                      <a:avLst/>
                    </a:prstGeom>
                    <a:noFill/>
                    <a:ln>
                      <a:noFill/>
                    </a:ln>
                  </pic:spPr>
                </pic:pic>
              </a:graphicData>
            </a:graphic>
          </wp:inline>
        </w:drawing>
      </w:r>
    </w:p>
    <w:p w14:paraId="406CA934" w14:textId="6BAC3B21" w:rsidR="00AD7DB9" w:rsidRDefault="00AD7DB9" w:rsidP="00AD7DB9">
      <w:pPr>
        <w:pStyle w:val="Beschriftung"/>
      </w:pPr>
      <w:bookmarkStart w:id="1" w:name="_Ref192675329"/>
      <w:r>
        <w:t xml:space="preserve">Abbildung </w:t>
      </w:r>
      <w:r w:rsidR="004E0F7A">
        <w:fldChar w:fldCharType="begin"/>
      </w:r>
      <w:r w:rsidR="004E0F7A">
        <w:instrText xml:space="preserve"> SEQ Abbildung \* ARABIC </w:instrText>
      </w:r>
      <w:r w:rsidR="004E0F7A">
        <w:fldChar w:fldCharType="separate"/>
      </w:r>
      <w:r w:rsidR="004E0F7A">
        <w:rPr>
          <w:noProof/>
        </w:rPr>
        <w:t>2</w:t>
      </w:r>
      <w:r w:rsidR="004E0F7A">
        <w:rPr>
          <w:noProof/>
        </w:rPr>
        <w:fldChar w:fldCharType="end"/>
      </w:r>
      <w:bookmarkEnd w:id="1"/>
      <w:r>
        <w:t>: Gelenkwinkel</w:t>
      </w:r>
    </w:p>
    <w:p w14:paraId="1DA06112" w14:textId="342067E7" w:rsidR="00AD7DB9" w:rsidRPr="004C4016" w:rsidRDefault="00AD7DB9" w:rsidP="00AD7DB9">
      <w:r>
        <w:t>Dabei sind „q“ (</w:t>
      </w:r>
      <w:r>
        <w:fldChar w:fldCharType="begin"/>
      </w:r>
      <w:r>
        <w:instrText xml:space="preserve"> REF _Ref192675329 \h </w:instrText>
      </w:r>
      <w:r>
        <w:fldChar w:fldCharType="separate"/>
      </w:r>
      <w:r>
        <w:t xml:space="preserve">Abbildung </w:t>
      </w:r>
      <w:r>
        <w:rPr>
          <w:noProof/>
        </w:rPr>
        <w:t>1</w:t>
      </w:r>
      <w:r>
        <w:fldChar w:fldCharType="end"/>
      </w:r>
      <w:r>
        <w:t>) die berechneten Gelenkwinkel, „qd“ (</w:t>
      </w:r>
      <w:r>
        <w:fldChar w:fldCharType="begin"/>
      </w:r>
      <w:r>
        <w:instrText xml:space="preserve"> REF _Ref192675467 \h </w:instrText>
      </w:r>
      <w:r>
        <w:fldChar w:fldCharType="separate"/>
      </w:r>
      <w:r>
        <w:t xml:space="preserve">Abbildung </w:t>
      </w:r>
      <w:r>
        <w:rPr>
          <w:noProof/>
        </w:rPr>
        <w:t>2</w:t>
      </w:r>
      <w:r>
        <w:fldChar w:fldCharType="end"/>
      </w:r>
      <w:r>
        <w:t>) die Gelenkwinkelgeschwindigkeiten und „qdd“ die Gelenkwinkelbeschleunigungen. Die daraus folgende Bewegung wird schlussendlich in einem Live-Plot simuliert.</w:t>
      </w:r>
    </w:p>
    <w:p w14:paraId="1042684A" w14:textId="7D6EC7F6" w:rsidR="00AD7DB9" w:rsidRDefault="00AD7DB9" w:rsidP="00AD7DB9">
      <w:pPr>
        <w:keepNext/>
      </w:pPr>
      <w:r>
        <w:rPr>
          <w:noProof/>
        </w:rPr>
        <w:drawing>
          <wp:inline distT="0" distB="0" distL="0" distR="0" wp14:anchorId="1B3A881A" wp14:editId="12ADFA9A">
            <wp:extent cx="5762625" cy="3234690"/>
            <wp:effectExtent l="0" t="0" r="9525" b="3810"/>
            <wp:docPr id="115085066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2625" cy="3234690"/>
                    </a:xfrm>
                    <a:prstGeom prst="rect">
                      <a:avLst/>
                    </a:prstGeom>
                    <a:noFill/>
                    <a:ln>
                      <a:noFill/>
                    </a:ln>
                  </pic:spPr>
                </pic:pic>
              </a:graphicData>
            </a:graphic>
          </wp:inline>
        </w:drawing>
      </w:r>
    </w:p>
    <w:p w14:paraId="10CB1EE8" w14:textId="5EF39DE1" w:rsidR="00AD7DB9" w:rsidRDefault="00AD7DB9" w:rsidP="00AD7DB9">
      <w:pPr>
        <w:pStyle w:val="Beschriftung"/>
      </w:pPr>
      <w:bookmarkStart w:id="2" w:name="_Ref192675467"/>
      <w:r>
        <w:t xml:space="preserve">Abbildung </w:t>
      </w:r>
      <w:r w:rsidR="004E0F7A">
        <w:fldChar w:fldCharType="begin"/>
      </w:r>
      <w:r w:rsidR="004E0F7A">
        <w:instrText xml:space="preserve"> SEQ Abbildung \* ARABIC </w:instrText>
      </w:r>
      <w:r w:rsidR="004E0F7A">
        <w:fldChar w:fldCharType="separate"/>
      </w:r>
      <w:r w:rsidR="004E0F7A">
        <w:rPr>
          <w:noProof/>
        </w:rPr>
        <w:t>3</w:t>
      </w:r>
      <w:r w:rsidR="004E0F7A">
        <w:rPr>
          <w:noProof/>
        </w:rPr>
        <w:fldChar w:fldCharType="end"/>
      </w:r>
      <w:bookmarkEnd w:id="2"/>
      <w:r>
        <w:t>: Geschwindigkeitsprofil</w:t>
      </w:r>
    </w:p>
    <w:p w14:paraId="0C625C48" w14:textId="7C10D648" w:rsidR="004E0F7A" w:rsidRDefault="004E0F7A">
      <w:r>
        <w:br w:type="page"/>
      </w:r>
    </w:p>
    <w:p w14:paraId="2CF992B3" w14:textId="123716DB" w:rsidR="00AD7DB9" w:rsidRDefault="004E0F7A">
      <w:pPr>
        <w:rPr>
          <w:b/>
        </w:rPr>
      </w:pPr>
      <w:r>
        <w:rPr>
          <w:b/>
        </w:rPr>
        <w:lastRenderedPageBreak/>
        <w:t>Auswertung</w:t>
      </w:r>
    </w:p>
    <w:p w14:paraId="1E582781" w14:textId="30D4AEDE" w:rsidR="004E0F7A" w:rsidRDefault="004E0F7A">
      <w:r>
        <w:t xml:space="preserve">Dank geringer Geschwindigkeit und keiner zusätzlicher Last verfolgt der Roboterarm die vorgegebene Bahn sehr präzise. In </w:t>
      </w:r>
      <w:r>
        <w:fldChar w:fldCharType="begin"/>
      </w:r>
      <w:r>
        <w:instrText xml:space="preserve"> REF _Ref192677058 \h </w:instrText>
      </w:r>
      <w:r>
        <w:fldChar w:fldCharType="separate"/>
      </w:r>
      <w:r>
        <w:t xml:space="preserve">Abbildung </w:t>
      </w:r>
      <w:r>
        <w:rPr>
          <w:noProof/>
        </w:rPr>
        <w:t>3</w:t>
      </w:r>
      <w:r>
        <w:fldChar w:fldCharType="end"/>
      </w:r>
      <w:r>
        <w:t xml:space="preserve"> ist beispielhaft ein Einschwingvorgang des Reglers erkennbar. Verglichen wird hier die vorgegebene Geschwindigkeit des Gelenk 3 mit der tatsächlichen. Es kommt kaum zu Abweichungen.</w:t>
      </w:r>
    </w:p>
    <w:p w14:paraId="120CF1E4" w14:textId="77777777" w:rsidR="004E0F7A" w:rsidRDefault="004E0F7A" w:rsidP="004E0F7A">
      <w:pPr>
        <w:keepNext/>
      </w:pPr>
      <w:r>
        <w:rPr>
          <w:noProof/>
        </w:rPr>
        <w:drawing>
          <wp:inline distT="0" distB="0" distL="0" distR="0" wp14:anchorId="4E9924DC" wp14:editId="42B5B94D">
            <wp:extent cx="5762625" cy="2924175"/>
            <wp:effectExtent l="0" t="0" r="9525" b="9525"/>
            <wp:docPr id="51372531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2924175"/>
                    </a:xfrm>
                    <a:prstGeom prst="rect">
                      <a:avLst/>
                    </a:prstGeom>
                    <a:noFill/>
                    <a:ln>
                      <a:noFill/>
                    </a:ln>
                  </pic:spPr>
                </pic:pic>
              </a:graphicData>
            </a:graphic>
          </wp:inline>
        </w:drawing>
      </w:r>
    </w:p>
    <w:p w14:paraId="397A1450" w14:textId="5C49484E" w:rsidR="004E0F7A" w:rsidRDefault="004E0F7A" w:rsidP="004E0F7A">
      <w:pPr>
        <w:pStyle w:val="Beschriftung"/>
      </w:pPr>
      <w:bookmarkStart w:id="3" w:name="_Ref192677058"/>
      <w:r>
        <w:t xml:space="preserve">Abbildung </w:t>
      </w:r>
      <w:r>
        <w:fldChar w:fldCharType="begin"/>
      </w:r>
      <w:r>
        <w:instrText xml:space="preserve"> SEQ Abbildung \* ARABIC </w:instrText>
      </w:r>
      <w:r>
        <w:fldChar w:fldCharType="separate"/>
      </w:r>
      <w:r>
        <w:rPr>
          <w:noProof/>
        </w:rPr>
        <w:t>4</w:t>
      </w:r>
      <w:r>
        <w:rPr>
          <w:noProof/>
        </w:rPr>
        <w:fldChar w:fldCharType="end"/>
      </w:r>
      <w:bookmarkEnd w:id="3"/>
      <w:r>
        <w:t>: Einschwingverhalten</w:t>
      </w:r>
    </w:p>
    <w:p w14:paraId="55D8D7E3" w14:textId="77777777" w:rsidR="00015BFA" w:rsidRDefault="00015BFA" w:rsidP="00446FBB"/>
    <w:p w14:paraId="4F1892CA" w14:textId="53C87299" w:rsidR="004E0F7A" w:rsidRDefault="00446FBB" w:rsidP="00446FBB">
      <w:r w:rsidRPr="00446FBB">
        <w:t>Vergl</w:t>
      </w:r>
      <w:r w:rsidR="00BA2E81">
        <w:t>e</w:t>
      </w:r>
      <w:r w:rsidRPr="00446FBB">
        <w:t xml:space="preserve">ich mit dem Beispiel </w:t>
      </w:r>
      <w:r w:rsidRPr="00446FBB">
        <w:t>„Plan and Execute Task- and Joint-Space Trajectories Using KINOVA Gen3 Manipulator“</w:t>
      </w:r>
      <w:r w:rsidRPr="00446FBB">
        <w:t xml:space="preserve"> aus der RSTB-Dokumen</w:t>
      </w:r>
      <w:r>
        <w:t>tation:</w:t>
      </w:r>
    </w:p>
    <w:tbl>
      <w:tblPr>
        <w:tblStyle w:val="Tabellenraster"/>
        <w:tblW w:w="0" w:type="auto"/>
        <w:tblLook w:val="04A0" w:firstRow="1" w:lastRow="0" w:firstColumn="1" w:lastColumn="0" w:noHBand="0" w:noVBand="1"/>
      </w:tblPr>
      <w:tblGrid>
        <w:gridCol w:w="2578"/>
        <w:gridCol w:w="3229"/>
        <w:gridCol w:w="3255"/>
      </w:tblGrid>
      <w:tr w:rsidR="00446FBB" w14:paraId="4422272A" w14:textId="77777777" w:rsidTr="00BC05B7">
        <w:tc>
          <w:tcPr>
            <w:tcW w:w="2578" w:type="dxa"/>
            <w:shd w:val="clear" w:color="auto" w:fill="D9D9D9" w:themeFill="background1" w:themeFillShade="D9"/>
          </w:tcPr>
          <w:p w14:paraId="6134E6E5" w14:textId="716E95D9" w:rsidR="00446FBB" w:rsidRPr="00446FBB" w:rsidRDefault="00446FBB" w:rsidP="00446FBB">
            <w:pPr>
              <w:jc w:val="center"/>
              <w:rPr>
                <w:b/>
                <w:bCs/>
                <w:sz w:val="28"/>
                <w:szCs w:val="28"/>
              </w:rPr>
            </w:pPr>
            <w:r w:rsidRPr="00446FBB">
              <w:rPr>
                <w:b/>
                <w:bCs/>
                <w:sz w:val="28"/>
                <w:szCs w:val="28"/>
              </w:rPr>
              <w:t>Kriterium</w:t>
            </w:r>
          </w:p>
        </w:tc>
        <w:tc>
          <w:tcPr>
            <w:tcW w:w="3229" w:type="dxa"/>
            <w:shd w:val="clear" w:color="auto" w:fill="D9D9D9" w:themeFill="background1" w:themeFillShade="D9"/>
          </w:tcPr>
          <w:p w14:paraId="458AC76B" w14:textId="2E0B32C4" w:rsidR="00446FBB" w:rsidRPr="00446FBB" w:rsidRDefault="00446FBB" w:rsidP="00446FBB">
            <w:pPr>
              <w:jc w:val="center"/>
              <w:rPr>
                <w:b/>
                <w:bCs/>
                <w:sz w:val="28"/>
                <w:szCs w:val="28"/>
              </w:rPr>
            </w:pPr>
            <w:r w:rsidRPr="00446FBB">
              <w:rPr>
                <w:b/>
                <w:bCs/>
                <w:sz w:val="28"/>
                <w:szCs w:val="28"/>
              </w:rPr>
              <w:t>Beispiel</w:t>
            </w:r>
            <w:r w:rsidR="008D6684">
              <w:rPr>
                <w:b/>
                <w:bCs/>
                <w:sz w:val="28"/>
                <w:szCs w:val="28"/>
              </w:rPr>
              <w:t xml:space="preserve"> RSTB-Doku</w:t>
            </w:r>
          </w:p>
        </w:tc>
        <w:tc>
          <w:tcPr>
            <w:tcW w:w="3255" w:type="dxa"/>
            <w:shd w:val="clear" w:color="auto" w:fill="D9D9D9" w:themeFill="background1" w:themeFillShade="D9"/>
          </w:tcPr>
          <w:p w14:paraId="781120BF" w14:textId="7EBA77E0" w:rsidR="00446FBB" w:rsidRPr="00446FBB" w:rsidRDefault="00BC05B7" w:rsidP="00446FBB">
            <w:pPr>
              <w:jc w:val="center"/>
              <w:rPr>
                <w:b/>
                <w:bCs/>
                <w:sz w:val="28"/>
                <w:szCs w:val="28"/>
              </w:rPr>
            </w:pPr>
            <w:r>
              <w:rPr>
                <w:b/>
                <w:bCs/>
                <w:sz w:val="28"/>
                <w:szCs w:val="28"/>
              </w:rPr>
              <w:t>unsere Umsetzung</w:t>
            </w:r>
            <w:r w:rsidR="00446FBB" w:rsidRPr="00446FBB">
              <w:rPr>
                <w:b/>
                <w:bCs/>
                <w:sz w:val="28"/>
                <w:szCs w:val="28"/>
              </w:rPr>
              <w:t xml:space="preserve"> </w:t>
            </w:r>
          </w:p>
        </w:tc>
      </w:tr>
      <w:tr w:rsidR="00446FBB" w:rsidRPr="00446FBB" w14:paraId="00BA07E4" w14:textId="77777777" w:rsidTr="00BC05B7">
        <w:tc>
          <w:tcPr>
            <w:tcW w:w="2578" w:type="dxa"/>
            <w:shd w:val="clear" w:color="auto" w:fill="D9D9D9" w:themeFill="background1" w:themeFillShade="D9"/>
          </w:tcPr>
          <w:p w14:paraId="6D453FC3" w14:textId="7B9EB554" w:rsidR="00446FBB" w:rsidRPr="00446FBB" w:rsidRDefault="00446FBB" w:rsidP="00BC05B7">
            <w:pPr>
              <w:jc w:val="center"/>
            </w:pPr>
            <w:r w:rsidRPr="00446FBB">
              <w:t>Trajektorienraum</w:t>
            </w:r>
          </w:p>
        </w:tc>
        <w:tc>
          <w:tcPr>
            <w:tcW w:w="3229" w:type="dxa"/>
          </w:tcPr>
          <w:p w14:paraId="14ABFCF3" w14:textId="43374180" w:rsidR="00446FBB" w:rsidRPr="00446FBB" w:rsidRDefault="00446FBB" w:rsidP="00446FBB">
            <w:pPr>
              <w:rPr>
                <w:lang w:val="en-US"/>
              </w:rPr>
            </w:pPr>
            <w:r w:rsidRPr="00446FBB">
              <w:rPr>
                <w:lang w:val="en-US"/>
              </w:rPr>
              <w:t>Kombination Joint-Space und Ta</w:t>
            </w:r>
            <w:r>
              <w:rPr>
                <w:lang w:val="en-US"/>
              </w:rPr>
              <w:t>sk-Space</w:t>
            </w:r>
          </w:p>
        </w:tc>
        <w:tc>
          <w:tcPr>
            <w:tcW w:w="3255" w:type="dxa"/>
          </w:tcPr>
          <w:p w14:paraId="2513B957" w14:textId="3A53F3D6" w:rsidR="00446FBB" w:rsidRPr="00446FBB" w:rsidRDefault="00446FBB" w:rsidP="00446FBB">
            <w:pPr>
              <w:rPr>
                <w:lang w:val="en-US"/>
              </w:rPr>
            </w:pPr>
            <w:r>
              <w:rPr>
                <w:lang w:val="en-US"/>
              </w:rPr>
              <w:t>nur Joint-Space</w:t>
            </w:r>
          </w:p>
        </w:tc>
      </w:tr>
      <w:tr w:rsidR="00446FBB" w14:paraId="5838E14E" w14:textId="77777777" w:rsidTr="00BC05B7">
        <w:tc>
          <w:tcPr>
            <w:tcW w:w="2578" w:type="dxa"/>
            <w:shd w:val="clear" w:color="auto" w:fill="D9D9D9" w:themeFill="background1" w:themeFillShade="D9"/>
          </w:tcPr>
          <w:p w14:paraId="7BCD5BAA" w14:textId="59451F86" w:rsidR="00446FBB" w:rsidRPr="00446FBB" w:rsidRDefault="00446FBB" w:rsidP="00BC05B7">
            <w:pPr>
              <w:jc w:val="center"/>
            </w:pPr>
            <w:r w:rsidRPr="00446FBB">
              <w:t>IK-Verwendung</w:t>
            </w:r>
          </w:p>
        </w:tc>
        <w:tc>
          <w:tcPr>
            <w:tcW w:w="3229" w:type="dxa"/>
          </w:tcPr>
          <w:p w14:paraId="10427E8D" w14:textId="3D7BBFE8" w:rsidR="00446FBB" w:rsidRDefault="00446FBB" w:rsidP="00446FBB">
            <w:r>
              <w:t>Zuerst im Task-Space, dann Umwandlung in Joint-Space</w:t>
            </w:r>
          </w:p>
        </w:tc>
        <w:tc>
          <w:tcPr>
            <w:tcW w:w="3255" w:type="dxa"/>
          </w:tcPr>
          <w:p w14:paraId="61FD948D" w14:textId="7201C224" w:rsidR="00446FBB" w:rsidRDefault="00446FBB" w:rsidP="00446FBB">
            <w:r>
              <w:t>direkte Nutzung der IK für Wegpunkte</w:t>
            </w:r>
          </w:p>
        </w:tc>
      </w:tr>
      <w:tr w:rsidR="00446FBB" w14:paraId="3AA83264" w14:textId="77777777" w:rsidTr="00BC05B7">
        <w:tc>
          <w:tcPr>
            <w:tcW w:w="2578" w:type="dxa"/>
            <w:shd w:val="clear" w:color="auto" w:fill="D9D9D9" w:themeFill="background1" w:themeFillShade="D9"/>
          </w:tcPr>
          <w:p w14:paraId="19283F63" w14:textId="0583ED92" w:rsidR="00446FBB" w:rsidRPr="00446FBB" w:rsidRDefault="00446FBB" w:rsidP="00BC05B7">
            <w:pPr>
              <w:jc w:val="center"/>
            </w:pPr>
            <w:r w:rsidRPr="00446FBB">
              <w:t>Trajektorienerzeugung</w:t>
            </w:r>
          </w:p>
        </w:tc>
        <w:tc>
          <w:tcPr>
            <w:tcW w:w="3229" w:type="dxa"/>
          </w:tcPr>
          <w:p w14:paraId="752DA896" w14:textId="794508C4" w:rsidR="00446FBB" w:rsidRDefault="00446FBB" w:rsidP="00446FBB">
            <w:r>
              <w:t>transformtraj -&gt; Task Space</w:t>
            </w:r>
          </w:p>
          <w:p w14:paraId="38146878" w14:textId="67D06875" w:rsidR="00446FBB" w:rsidRDefault="00446FBB" w:rsidP="00446FBB">
            <w:r>
              <w:t>cubicpolytraj -&gt; Joint-Space</w:t>
            </w:r>
          </w:p>
        </w:tc>
        <w:tc>
          <w:tcPr>
            <w:tcW w:w="3255" w:type="dxa"/>
          </w:tcPr>
          <w:p w14:paraId="01F8A395" w14:textId="68F35825" w:rsidR="00446FBB" w:rsidRDefault="00446FBB" w:rsidP="00446FBB">
            <w:r>
              <w:t>trapveltraj -&gt; glatte Bewegung im Joint-Space</w:t>
            </w:r>
          </w:p>
        </w:tc>
      </w:tr>
      <w:tr w:rsidR="00446FBB" w14:paraId="664EEA25" w14:textId="77777777" w:rsidTr="00BC05B7">
        <w:tc>
          <w:tcPr>
            <w:tcW w:w="2578" w:type="dxa"/>
            <w:shd w:val="clear" w:color="auto" w:fill="D9D9D9" w:themeFill="background1" w:themeFillShade="D9"/>
          </w:tcPr>
          <w:p w14:paraId="7CD952FF" w14:textId="141F26C1" w:rsidR="00446FBB" w:rsidRPr="00446FBB" w:rsidRDefault="00446FBB" w:rsidP="00BC05B7">
            <w:pPr>
              <w:jc w:val="center"/>
            </w:pPr>
            <w:r w:rsidRPr="00446FBB">
              <w:t>Simulationsmethode</w:t>
            </w:r>
          </w:p>
        </w:tc>
        <w:tc>
          <w:tcPr>
            <w:tcW w:w="3229" w:type="dxa"/>
          </w:tcPr>
          <w:p w14:paraId="3852027D" w14:textId="0F6D301F" w:rsidR="00446FBB" w:rsidRDefault="00BC05B7" w:rsidP="00446FBB">
            <w:r>
              <w:t>ODE-Solver</w:t>
            </w:r>
            <w:r w:rsidR="0088596C">
              <w:t xml:space="preserve"> -&gt; berücksichtigt Dynamik</w:t>
            </w:r>
          </w:p>
        </w:tc>
        <w:tc>
          <w:tcPr>
            <w:tcW w:w="3255" w:type="dxa"/>
          </w:tcPr>
          <w:p w14:paraId="3D364702" w14:textId="58AFA23E" w:rsidR="00446FBB" w:rsidRDefault="00BC05B7" w:rsidP="00446FBB">
            <w:r>
              <w:t>direkte Animation + Simulink</w:t>
            </w:r>
            <w:r w:rsidR="0088596C">
              <w:t xml:space="preserve"> -&gt; keine Dynamik</w:t>
            </w:r>
          </w:p>
        </w:tc>
      </w:tr>
      <w:tr w:rsidR="00446FBB" w14:paraId="62CF87D0" w14:textId="77777777" w:rsidTr="00BC05B7">
        <w:tc>
          <w:tcPr>
            <w:tcW w:w="2578" w:type="dxa"/>
            <w:shd w:val="clear" w:color="auto" w:fill="D9D9D9" w:themeFill="background1" w:themeFillShade="D9"/>
          </w:tcPr>
          <w:p w14:paraId="47B5C098" w14:textId="6947D78F" w:rsidR="00446FBB" w:rsidRPr="00446FBB" w:rsidRDefault="00446FBB" w:rsidP="00BC05B7">
            <w:pPr>
              <w:jc w:val="center"/>
            </w:pPr>
            <w:r w:rsidRPr="00446FBB">
              <w:t>Geschwindigkeitsprofil</w:t>
            </w:r>
          </w:p>
        </w:tc>
        <w:tc>
          <w:tcPr>
            <w:tcW w:w="3229" w:type="dxa"/>
          </w:tcPr>
          <w:p w14:paraId="22AA6C99" w14:textId="1C463878" w:rsidR="00446FBB" w:rsidRDefault="00BC05B7" w:rsidP="00446FBB">
            <w:r>
              <w:t>automatische Berechnung der Zeit auf Basis der gewünschten Endeffektor-Geschwindigkeit</w:t>
            </w:r>
          </w:p>
        </w:tc>
        <w:tc>
          <w:tcPr>
            <w:tcW w:w="3255" w:type="dxa"/>
          </w:tcPr>
          <w:p w14:paraId="7F14FA34" w14:textId="736E014B" w:rsidR="00446FBB" w:rsidRDefault="00BC05B7" w:rsidP="00446FBB">
            <w:r>
              <w:t>trapezförmiges Geschwindigkeitsprofil</w:t>
            </w:r>
          </w:p>
        </w:tc>
      </w:tr>
    </w:tbl>
    <w:p w14:paraId="26E387A6" w14:textId="77777777" w:rsidR="00446FBB" w:rsidRPr="00446FBB" w:rsidRDefault="00446FBB" w:rsidP="00446FBB"/>
    <w:sectPr w:rsidR="00446FBB" w:rsidRPr="00446F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03"/>
    <w:rsid w:val="00015BFA"/>
    <w:rsid w:val="00207602"/>
    <w:rsid w:val="00311E9E"/>
    <w:rsid w:val="003F3A03"/>
    <w:rsid w:val="004366EA"/>
    <w:rsid w:val="00446FBB"/>
    <w:rsid w:val="004C4016"/>
    <w:rsid w:val="004E0F7A"/>
    <w:rsid w:val="005215E0"/>
    <w:rsid w:val="0088596C"/>
    <w:rsid w:val="008D6684"/>
    <w:rsid w:val="00A50058"/>
    <w:rsid w:val="00AC5A29"/>
    <w:rsid w:val="00AD7DB9"/>
    <w:rsid w:val="00BA2E81"/>
    <w:rsid w:val="00BC05B7"/>
    <w:rsid w:val="00E52F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05EE"/>
  <w15:chartTrackingRefBased/>
  <w15:docId w15:val="{85FAC9E8-6968-42E5-8774-80CA3742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3A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F3A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F3A0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F3A0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F3A0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F3A0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F3A0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F3A0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F3A0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3A0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F3A0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F3A0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F3A0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F3A0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F3A0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F3A0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F3A0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F3A03"/>
    <w:rPr>
      <w:rFonts w:eastAsiaTheme="majorEastAsia" w:cstheme="majorBidi"/>
      <w:color w:val="272727" w:themeColor="text1" w:themeTint="D8"/>
    </w:rPr>
  </w:style>
  <w:style w:type="paragraph" w:styleId="Titel">
    <w:name w:val="Title"/>
    <w:basedOn w:val="Standard"/>
    <w:next w:val="Standard"/>
    <w:link w:val="TitelZchn"/>
    <w:uiPriority w:val="10"/>
    <w:qFormat/>
    <w:rsid w:val="003F3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F3A0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F3A0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F3A0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F3A0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F3A03"/>
    <w:rPr>
      <w:i/>
      <w:iCs/>
      <w:color w:val="404040" w:themeColor="text1" w:themeTint="BF"/>
    </w:rPr>
  </w:style>
  <w:style w:type="paragraph" w:styleId="Listenabsatz">
    <w:name w:val="List Paragraph"/>
    <w:basedOn w:val="Standard"/>
    <w:uiPriority w:val="34"/>
    <w:qFormat/>
    <w:rsid w:val="003F3A03"/>
    <w:pPr>
      <w:ind w:left="720"/>
      <w:contextualSpacing/>
    </w:pPr>
  </w:style>
  <w:style w:type="character" w:styleId="IntensiveHervorhebung">
    <w:name w:val="Intense Emphasis"/>
    <w:basedOn w:val="Absatz-Standardschriftart"/>
    <w:uiPriority w:val="21"/>
    <w:qFormat/>
    <w:rsid w:val="003F3A03"/>
    <w:rPr>
      <w:i/>
      <w:iCs/>
      <w:color w:val="0F4761" w:themeColor="accent1" w:themeShade="BF"/>
    </w:rPr>
  </w:style>
  <w:style w:type="paragraph" w:styleId="IntensivesZitat">
    <w:name w:val="Intense Quote"/>
    <w:basedOn w:val="Standard"/>
    <w:next w:val="Standard"/>
    <w:link w:val="IntensivesZitatZchn"/>
    <w:uiPriority w:val="30"/>
    <w:qFormat/>
    <w:rsid w:val="003F3A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F3A03"/>
    <w:rPr>
      <w:i/>
      <w:iCs/>
      <w:color w:val="0F4761" w:themeColor="accent1" w:themeShade="BF"/>
    </w:rPr>
  </w:style>
  <w:style w:type="character" w:styleId="IntensiverVerweis">
    <w:name w:val="Intense Reference"/>
    <w:basedOn w:val="Absatz-Standardschriftart"/>
    <w:uiPriority w:val="32"/>
    <w:qFormat/>
    <w:rsid w:val="003F3A03"/>
    <w:rPr>
      <w:b/>
      <w:bCs/>
      <w:smallCaps/>
      <w:color w:val="0F4761" w:themeColor="accent1" w:themeShade="BF"/>
      <w:spacing w:val="5"/>
    </w:rPr>
  </w:style>
  <w:style w:type="paragraph" w:styleId="Beschriftung">
    <w:name w:val="caption"/>
    <w:basedOn w:val="Standard"/>
    <w:next w:val="Standard"/>
    <w:uiPriority w:val="35"/>
    <w:unhideWhenUsed/>
    <w:qFormat/>
    <w:rsid w:val="00AD7DB9"/>
    <w:pPr>
      <w:spacing w:after="200" w:line="240" w:lineRule="auto"/>
    </w:pPr>
    <w:rPr>
      <w:i/>
      <w:iCs/>
      <w:color w:val="0E2841" w:themeColor="text2"/>
      <w:sz w:val="18"/>
      <w:szCs w:val="18"/>
    </w:rPr>
  </w:style>
  <w:style w:type="table" w:styleId="Tabellenraster">
    <w:name w:val="Table Grid"/>
    <w:basedOn w:val="NormaleTabelle"/>
    <w:uiPriority w:val="39"/>
    <w:rsid w:val="00446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62371">
      <w:bodyDiv w:val="1"/>
      <w:marLeft w:val="0"/>
      <w:marRight w:val="0"/>
      <w:marTop w:val="0"/>
      <w:marBottom w:val="0"/>
      <w:divBdr>
        <w:top w:val="none" w:sz="0" w:space="0" w:color="auto"/>
        <w:left w:val="none" w:sz="0" w:space="0" w:color="auto"/>
        <w:bottom w:val="none" w:sz="0" w:space="0" w:color="auto"/>
        <w:right w:val="none" w:sz="0" w:space="0" w:color="auto"/>
      </w:divBdr>
    </w:div>
    <w:div w:id="174464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2FF78-8FD6-419C-8104-0CF92154D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2972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Béla Schroth</dc:creator>
  <cp:keywords/>
  <dc:description/>
  <cp:lastModifiedBy>Béla Schroth</cp:lastModifiedBy>
  <cp:revision>8</cp:revision>
  <dcterms:created xsi:type="dcterms:W3CDTF">2025-03-12T10:26:00Z</dcterms:created>
  <dcterms:modified xsi:type="dcterms:W3CDTF">2025-03-12T12:29:00Z</dcterms:modified>
</cp:coreProperties>
</file>