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sharetype-tokenization-strategy"/>
    <w:p>
      <w:pPr>
        <w:pStyle w:val="Heading1"/>
      </w:pPr>
      <w:r>
        <w:t xml:space="preserve">ShareType Tokenization Strategy</w:t>
      </w:r>
    </w:p>
    <w:p>
      <w:pPr>
        <w:pStyle w:val="Block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Research / Design Specification</w:t>
      </w:r>
      <w:r>
        <w:br/>
      </w:r>
      <w:r>
        <w:rPr>
          <w:b/>
          <w:bCs/>
        </w:rPr>
        <w:t xml:space="preserve">Epic:</w:t>
      </w:r>
      <w:r>
        <w:t xml:space="preserve"> </w:t>
      </w:r>
      <w:r>
        <w:t xml:space="preserve">E-004 - Blockchain Integration Initiative (Solana)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E-004-03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November 2024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defines the tokenization strategy for representing FanEngagement ShareTypes as SPL tokens on Solana. It establishes the model for how organization shares are represented on-chain, including mint creation workflows, metadata structure, authority management, issuance synchronization, supply enforcement, and burn mechanics.</w:t>
      </w:r>
    </w:p>
    <w:p>
      <w:pPr>
        <w:pStyle w:val="BodyText"/>
      </w:pPr>
      <w:r>
        <w:rPr>
          <w:b/>
          <w:bCs/>
        </w:rPr>
        <w:t xml:space="preserve">Key Decisions: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SPL Token Mint per ShareType</w:t>
      </w:r>
      <w:r>
        <w:t xml:space="preserve"> </w:t>
      </w:r>
      <w:r>
        <w:t xml:space="preserve">- Each ShareType in an organization becomes a distinct token mint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Token-2022 program preferred</w:t>
      </w:r>
      <w:r>
        <w:t xml:space="preserve"> </w:t>
      </w:r>
      <w:r>
        <w:t xml:space="preserve">- Leverage extensions for non-transferable tokens and native metadata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Platform-controlled mint authority (MVP)</w:t>
      </w:r>
      <w:r>
        <w:t xml:space="preserve"> </w:t>
      </w:r>
      <w:r>
        <w:t xml:space="preserve">- Single program-controlled authority with migration path to multisig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 supply enforcement</w:t>
      </w:r>
      <w:r>
        <w:t xml:space="preserve"> </w:t>
      </w:r>
      <w:r>
        <w:t xml:space="preserve">- MaxSupply enforced at application level, validated on-chain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Event-driven synchronization</w:t>
      </w:r>
      <w:r>
        <w:t xml:space="preserve"> </w:t>
      </w:r>
      <w:r>
        <w:t xml:space="preserve">- Database changes trigger on-chain minting via event queue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67528b562a3d9bd1f0cd43dc547fc6ca244caac">
        <w:r>
          <w:rPr>
            <w:rStyle w:val="Hyperlink"/>
          </w:rPr>
          <w:t xml:space="preserve">ShareType to SPL Token Mapping</w:t>
        </w:r>
      </w:hyperlink>
    </w:p>
    <w:p>
      <w:pPr>
        <w:pStyle w:val="Compact"/>
        <w:numPr>
          <w:ilvl w:val="0"/>
          <w:numId w:val="1002"/>
        </w:numPr>
      </w:pPr>
      <w:hyperlink w:anchor="X378701c863d829496613b5d95b344f7688b4b05">
        <w:r>
          <w:rPr>
            <w:rStyle w:val="Hyperlink"/>
          </w:rPr>
          <w:t xml:space="preserve">SPL Token Mint Creation Workflow</w:t>
        </w:r>
      </w:hyperlink>
    </w:p>
    <w:p>
      <w:pPr>
        <w:pStyle w:val="Compact"/>
        <w:numPr>
          <w:ilvl w:val="0"/>
          <w:numId w:val="1002"/>
        </w:numPr>
      </w:pPr>
      <w:hyperlink w:anchor="X9cffe32f36e36f3859b633a8ed5704dcaac1b78">
        <w:r>
          <w:rPr>
            <w:rStyle w:val="Hyperlink"/>
          </w:rPr>
          <w:t xml:space="preserve">Token Metadata Structure</w:t>
        </w:r>
      </w:hyperlink>
    </w:p>
    <w:p>
      <w:pPr>
        <w:pStyle w:val="Compact"/>
        <w:numPr>
          <w:ilvl w:val="0"/>
          <w:numId w:val="1002"/>
        </w:numPr>
      </w:pPr>
      <w:hyperlink w:anchor="Xdfcacf19a46bb6c91143be500d0a3fd62862b05">
        <w:r>
          <w:rPr>
            <w:rStyle w:val="Hyperlink"/>
          </w:rPr>
          <w:t xml:space="preserve">Mint Authority Management</w:t>
        </w:r>
      </w:hyperlink>
    </w:p>
    <w:p>
      <w:pPr>
        <w:pStyle w:val="Compact"/>
        <w:numPr>
          <w:ilvl w:val="0"/>
          <w:numId w:val="1002"/>
        </w:numPr>
      </w:pPr>
      <w:hyperlink w:anchor="X200304850515bc55074ec0b0df0e1d4b643ebb9">
        <w:r>
          <w:rPr>
            <w:rStyle w:val="Hyperlink"/>
          </w:rPr>
          <w:t xml:space="preserve">Token Issuance Workflow</w:t>
        </w:r>
      </w:hyperlink>
    </w:p>
    <w:p>
      <w:pPr>
        <w:pStyle w:val="Compact"/>
        <w:numPr>
          <w:ilvl w:val="0"/>
          <w:numId w:val="1002"/>
        </w:numPr>
      </w:pPr>
      <w:hyperlink w:anchor="X65ef8515b79522dbc48fa9f2ee7863c635480af">
        <w:r>
          <w:rPr>
            <w:rStyle w:val="Hyperlink"/>
          </w:rPr>
          <w:t xml:space="preserve">MaxSupply Enforcement</w:t>
        </w:r>
      </w:hyperlink>
    </w:p>
    <w:p>
      <w:pPr>
        <w:pStyle w:val="Compact"/>
        <w:numPr>
          <w:ilvl w:val="0"/>
          <w:numId w:val="1002"/>
        </w:numPr>
      </w:pPr>
      <w:hyperlink w:anchor="Xf06d31c00fd8a07cf6dde620b0f95af564d8411">
        <w:r>
          <w:rPr>
            <w:rStyle w:val="Hyperlink"/>
          </w:rPr>
          <w:t xml:space="preserve">Burn Mechanics for Share Revocation</w:t>
        </w:r>
      </w:hyperlink>
    </w:p>
    <w:p>
      <w:pPr>
        <w:pStyle w:val="Compact"/>
        <w:numPr>
          <w:ilvl w:val="0"/>
          <w:numId w:val="1002"/>
        </w:numPr>
      </w:pPr>
      <w:hyperlink w:anchor="X6d9f190c6303823f09b1ca33e2ab5b1853ceed2">
        <w:r>
          <w:rPr>
            <w:rStyle w:val="Hyperlink"/>
          </w:rPr>
          <w:t xml:space="preserve">Token Program Selection</w:t>
        </w:r>
      </w:hyperlink>
    </w:p>
    <w:p>
      <w:pPr>
        <w:pStyle w:val="Compact"/>
        <w:numPr>
          <w:ilvl w:val="0"/>
          <w:numId w:val="1002"/>
        </w:numPr>
      </w:pPr>
      <w:hyperlink w:anchor="Xe0ebaa7c07af552869de8d156132cfc2a723b81">
        <w:r>
          <w:rPr>
            <w:rStyle w:val="Hyperlink"/>
          </w:rPr>
          <w:t xml:space="preserve">Implementation Phases</w:t>
        </w:r>
      </w:hyperlink>
    </w:p>
    <w:p>
      <w:pPr>
        <w:pStyle w:val="Compact"/>
        <w:numPr>
          <w:ilvl w:val="0"/>
          <w:numId w:val="1002"/>
        </w:numPr>
      </w:pPr>
      <w:hyperlink w:anchor="X470a1ab7f87abcc41f233a5a70995dca08db255">
        <w:r>
          <w:rPr>
            <w:rStyle w:val="Hyperlink"/>
          </w:rPr>
          <w:t xml:space="preserve">Security Considerations</w:t>
        </w:r>
      </w:hyperlink>
    </w:p>
    <w:p>
      <w:pPr>
        <w:pStyle w:val="Compact"/>
        <w:numPr>
          <w:ilvl w:val="0"/>
          <w:numId w:val="1002"/>
        </w:numPr>
      </w:pPr>
      <w:hyperlink w:anchor="X726793783ba4ae7f9802481ba226d33bdbc715c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sharetype-to-spl-token-mapping"/>
    <w:p>
      <w:pPr>
        <w:pStyle w:val="Heading2"/>
      </w:pPr>
      <w:r>
        <w:t xml:space="preserve">1. ShareType to SPL Token Mapping</w:t>
      </w:r>
    </w:p>
    <w:bookmarkStart w:id="11" w:name="domain-model-alignment"/>
    <w:p>
      <w:pPr>
        <w:pStyle w:val="Heading3"/>
      </w:pPr>
      <w:r>
        <w:t xml:space="preserve">1.1 Domain Model Alignment</w:t>
      </w:r>
    </w:p>
    <w:p>
      <w:pPr>
        <w:pStyle w:val="FirstParagraph"/>
      </w:pPr>
      <w:r>
        <w:t xml:space="preserve">The FanEngagement ShareType entity maps directly to SPL token concepts: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92"/>
        <w:gridCol w:w="3696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ShareType Field</w:t>
            </w:r>
          </w:p>
        </w:tc>
        <w:tc>
          <w:tcPr/>
          <w:p>
            <w:pPr>
              <w:pStyle w:val="Compact"/>
            </w:pPr>
            <w:r>
              <w:t xml:space="preserve">SPL Token Equivalent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(Guid)</w:t>
            </w:r>
          </w:p>
        </w:tc>
        <w:tc>
          <w:tcPr/>
          <w:p>
            <w:pPr>
              <w:pStyle w:val="Compact"/>
            </w:pPr>
            <w:r>
              <w:t xml:space="preserve">PDA seed</w:t>
            </w:r>
          </w:p>
        </w:tc>
        <w:tc>
          <w:tcPr/>
          <w:p>
            <w:pPr>
              <w:pStyle w:val="Compact"/>
            </w:pPr>
            <w:r>
              <w:t xml:space="preserve">Used to derive deterministic mint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OrganizationId</w:t>
            </w:r>
            <w:r>
              <w:t xml:space="preserve"> </w:t>
            </w:r>
            <w:r>
              <w:t xml:space="preserve">(Guid)</w:t>
            </w:r>
          </w:p>
        </w:tc>
        <w:tc>
          <w:tcPr/>
          <w:p>
            <w:pPr>
              <w:pStyle w:val="Compact"/>
            </w:pPr>
            <w:r>
              <w:t xml:space="preserve">PDA seed component</w:t>
            </w:r>
          </w:p>
        </w:tc>
        <w:tc>
          <w:tcPr/>
          <w:p>
            <w:pPr>
              <w:pStyle w:val="Compact"/>
            </w:pPr>
            <w:r>
              <w:t xml:space="preserve">Scopes token to 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Token metadata name</w:t>
            </w:r>
          </w:p>
        </w:tc>
        <w:tc>
          <w:tcPr/>
          <w:p>
            <w:pPr>
              <w:pStyle w:val="Compact"/>
            </w:pPr>
            <w:r>
              <w:t xml:space="preserve">Stored in Metaplex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Token symbol</w:t>
            </w:r>
          </w:p>
        </w:tc>
        <w:tc>
          <w:tcPr/>
          <w:p>
            <w:pPr>
              <w:pStyle w:val="Compact"/>
            </w:pPr>
            <w:r>
              <w:t xml:space="preserve">1-10 characters, stored in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Token metadata description</w:t>
            </w:r>
          </w:p>
        </w:tc>
        <w:tc>
          <w:tcPr/>
          <w:p>
            <w:pPr>
              <w:pStyle w:val="Compact"/>
            </w:pPr>
            <w:r>
              <w:t xml:space="preserve">Stored off-chain (URI)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VotingWeight</w:t>
            </w:r>
          </w:p>
        </w:tc>
        <w:tc>
          <w:tcPr/>
          <w:p>
            <w:pPr>
              <w:pStyle w:val="Compact"/>
            </w:pPr>
            <w:r>
              <w:t xml:space="preserve">Custom metadata attribute</w:t>
            </w:r>
          </w:p>
        </w:tc>
        <w:tc>
          <w:tcPr/>
          <w:p>
            <w:pPr>
              <w:pStyle w:val="Compact"/>
            </w:pPr>
            <w:r>
              <w:t xml:space="preserve">Governance-specific, stored in metadata 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MaxSupply</w:t>
            </w:r>
          </w:p>
        </w:tc>
        <w:tc>
          <w:tcPr/>
          <w:p>
            <w:pPr>
              <w:pStyle w:val="Compact"/>
            </w:pPr>
            <w:r>
              <w:t xml:space="preserve">Application-level constraint</w:t>
            </w:r>
          </w:p>
        </w:tc>
        <w:tc>
          <w:tcPr/>
          <w:p>
            <w:pPr>
              <w:pStyle w:val="Compact"/>
            </w:pPr>
            <w:r>
              <w:t xml:space="preserve">Not natively enforced by SPL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IsTransferable</w:t>
            </w:r>
          </w:p>
        </w:tc>
        <w:tc>
          <w:tcPr/>
          <w:p>
            <w:pPr>
              <w:pStyle w:val="Compact"/>
            </w:pPr>
            <w:r>
              <w:t xml:space="preserve">Token-2022 Non-Transferable extension</w:t>
            </w:r>
          </w:p>
        </w:tc>
        <w:tc>
          <w:tcPr/>
          <w:p>
            <w:pPr>
              <w:pStyle w:val="Compact"/>
            </w:pPr>
            <w:r>
              <w:t xml:space="preserve">Protocol-level transfer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On-chain timestamp</w:t>
            </w:r>
          </w:p>
        </w:tc>
        <w:tc>
          <w:tcPr/>
          <w:p>
            <w:pPr>
              <w:pStyle w:val="Compact"/>
            </w:pPr>
            <w:r>
              <w:t xml:space="preserve">Stored in token metadata</w:t>
            </w:r>
          </w:p>
        </w:tc>
      </w:tr>
    </w:tbl>
    <w:bookmarkEnd w:id="11"/>
    <w:bookmarkStart w:id="12" w:name="token-architecture"/>
    <w:p>
      <w:pPr>
        <w:pStyle w:val="Heading3"/>
      </w:pPr>
      <w:r>
        <w:t xml:space="preserve">1.2 Token Architecture</w:t>
      </w:r>
    </w:p>
    <w:p>
      <w:pPr>
        <w:pStyle w:val="FirstParagraph"/>
      </w:pPr>
      <w:r>
        <w:t xml:space="preserve">Each organization’s share structure is represented as a collection of token mints:</w:t>
      </w:r>
    </w:p>
    <w:p>
      <w:pPr>
        <w:pStyle w:val="SourceCode"/>
      </w:pPr>
      <w:r>
        <w:rPr>
          <w:rStyle w:val="VerbatimChar"/>
        </w:rPr>
        <w:t xml:space="preserve">Organization: "Manchester United FC" (org_uuid: abc123...)</w:t>
      </w:r>
      <w:r>
        <w:br/>
      </w:r>
      <w:r>
        <w:rPr>
          <w:rStyle w:val="VerbatimChar"/>
        </w:rPr>
        <w:t xml:space="preserve">├── ShareType: "Season Ticket Holder"</w:t>
      </w:r>
      <w:r>
        <w:br/>
      </w:r>
      <w:r>
        <w:rPr>
          <w:rStyle w:val="VerbatimChar"/>
        </w:rPr>
        <w:t xml:space="preserve">│   ├── FanEngagement DB: { Id: st_001, Symbol: "MUFC-STH", VotingWeight: 1.0, IsTransferable: true }</w:t>
      </w:r>
      <w:r>
        <w:br/>
      </w:r>
      <w:r>
        <w:rPr>
          <w:rStyle w:val="VerbatimChar"/>
        </w:rPr>
        <w:t xml:space="preserve">│   └── Solana Token Mint: 7xKW...pQm (SPL Token - tradeable)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ShareType: "Founding Member"  </w:t>
      </w:r>
      <w:r>
        <w:br/>
      </w:r>
      <w:r>
        <w:rPr>
          <w:rStyle w:val="VerbatimChar"/>
        </w:rPr>
        <w:t xml:space="preserve">│   ├── FanEngagement DB: { Id: st_002, Symbol: "MUFC-FM", VotingWeight: 10.0, IsTransferable: false }</w:t>
      </w:r>
      <w:r>
        <w:br/>
      </w:r>
      <w:r>
        <w:rPr>
          <w:rStyle w:val="VerbatimChar"/>
        </w:rPr>
        <w:t xml:space="preserve">│   └── Solana Token Mint: 9aRt...xYz (Token-2022 - non-transferable)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ShareType: "Gold Member"</w:t>
      </w:r>
      <w:r>
        <w:br/>
      </w:r>
      <w:r>
        <w:rPr>
          <w:rStyle w:val="VerbatimChar"/>
        </w:rPr>
        <w:t xml:space="preserve">    ├── FanEngagement DB: { Id: st_003, Symbol: "MUFC-GOLD", VotingWeight: 5.0, IsTransferable: true }</w:t>
      </w:r>
      <w:r>
        <w:br/>
      </w:r>
      <w:r>
        <w:rPr>
          <w:rStyle w:val="VerbatimChar"/>
        </w:rPr>
        <w:t xml:space="preserve">    └── Solana Token Mint: 3bCd...wVu (Token-2022 - with transfer hook)</w:t>
      </w:r>
    </w:p>
    <w:bookmarkEnd w:id="12"/>
    <w:bookmarkStart w:id="13" w:name="pda-derivation-for-token-mints"/>
    <w:p>
      <w:pPr>
        <w:pStyle w:val="Heading3"/>
      </w:pPr>
      <w:r>
        <w:t xml:space="preserve">1.3 PDA Derivation for Token Mints</w:t>
      </w:r>
    </w:p>
    <w:p>
      <w:pPr>
        <w:pStyle w:val="FirstParagraph"/>
      </w:pPr>
      <w:r>
        <w:t xml:space="preserve">Token mint addresses are derived deterministically using Program Derived Addresses (PDAs):</w:t>
      </w:r>
    </w:p>
    <w:p>
      <w:pPr>
        <w:pStyle w:val="SourceCode"/>
      </w:pPr>
      <w:r>
        <w:rPr>
          <w:rStyle w:val="CommentTok"/>
        </w:rPr>
        <w:t xml:space="preserve">// Mint PDA derivation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[mintPda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mintBump]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findProgramAddressSync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[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"share_mint"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organizationUuid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toBuffer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16 bytes</w:t>
      </w:r>
      <w:r>
        <w:br/>
      </w:r>
      <w:r>
        <w:rPr>
          <w:rStyle w:val="NormalTok"/>
        </w:rPr>
        <w:t xml:space="preserve">    shareTypeUuid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toBuffer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16 bytes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FAN_GOVERNANCE_PROGRAM_ID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Benefits of PDA-based mints: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Same ShareType always maps to same mint address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Verifiable</w:t>
      </w:r>
      <w:r>
        <w:t xml:space="preserve">: Anyone can derive the address given the UUIDs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Linkable</w:t>
      </w:r>
      <w:r>
        <w:t xml:space="preserve">: Easy to map between off-chain and on-chain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</w:t>
      </w:r>
      <w:r>
        <w:t xml:space="preserve">: Guaranteed uniqueness per organization/share type combination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spl-token-mint-creation-workflow"/>
    <w:p>
      <w:pPr>
        <w:pStyle w:val="Heading2"/>
      </w:pPr>
      <w:r>
        <w:t xml:space="preserve">2. SPL Token Mint Creation Workflow</w:t>
      </w:r>
    </w:p>
    <w:bookmarkStart w:id="15" w:name="trigger-events"/>
    <w:p>
      <w:pPr>
        <w:pStyle w:val="Heading3"/>
      </w:pPr>
      <w:r>
        <w:t xml:space="preserve">2.1 Trigger Events</w:t>
      </w:r>
    </w:p>
    <w:p>
      <w:pPr>
        <w:pStyle w:val="FirstParagraph"/>
      </w:pPr>
      <w:r>
        <w:t xml:space="preserve">Token mints are created in response to ShareType lifecycle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ShareType created in DB</w:t>
            </w:r>
          </w:p>
        </w:tc>
        <w:tc>
          <w:tcPr/>
          <w:p>
            <w:pPr>
              <w:pStyle w:val="Compact"/>
            </w:pPr>
            <w:r>
              <w:t xml:space="preserve">Create token mint on Solana</w:t>
            </w:r>
          </w:p>
        </w:tc>
        <w:tc>
          <w:tcPr/>
          <w:p>
            <w:pPr>
              <w:pStyle w:val="Compact"/>
            </w:pPr>
            <w:r>
              <w:t xml:space="preserve">Async (event queue)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ShareType</w:t>
            </w:r>
            <w:r>
              <w:t xml:space="preserve"> </w:t>
            </w:r>
            <w:r>
              <w:rPr>
                <w:rStyle w:val="VerbatimChar"/>
              </w:rPr>
              <w:t xml:space="preserve">IsTransferable</w:t>
            </w:r>
            <w:r>
              <w:t xml:space="preserve"> </w:t>
            </w:r>
            <w:r>
              <w:t xml:space="preserve">changed</w:t>
            </w:r>
          </w:p>
        </w:tc>
        <w:tc>
          <w:tcPr/>
          <w:p>
            <w:pPr>
              <w:pStyle w:val="Compact"/>
            </w:pPr>
            <w:r>
              <w:t xml:space="preserve">Update token extensions or create new mint</w:t>
            </w:r>
          </w:p>
        </w:tc>
        <w:tc>
          <w:tcPr/>
          <w:p>
            <w:pPr>
              <w:pStyle w:val="Compact"/>
            </w:pPr>
            <w:r>
              <w:t xml:space="preserve">May require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ShareType deleted</w:t>
            </w:r>
          </w:p>
        </w:tc>
        <w:tc>
          <w:tcPr/>
          <w:p>
            <w:pPr>
              <w:pStyle w:val="Compact"/>
            </w:pPr>
            <w:r>
              <w:t xml:space="preserve">Optionally close mint authority</w:t>
            </w:r>
          </w:p>
        </w:tc>
        <w:tc>
          <w:tcPr/>
          <w:p>
            <w:pPr>
              <w:pStyle w:val="Compact"/>
            </w:pPr>
            <w:r>
              <w:t xml:space="preserve">Only if no tokens issued</w:t>
            </w:r>
          </w:p>
        </w:tc>
      </w:tr>
    </w:tbl>
    <w:bookmarkEnd w:id="15"/>
    <w:bookmarkStart w:id="16" w:name="creation-workflow"/>
    <w:p>
      <w:pPr>
        <w:pStyle w:val="Heading3"/>
      </w:pPr>
      <w:r>
        <w:t xml:space="preserve">2.2 Creation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Token Mint Creation Workflow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1. ShareType Created in Database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POST /organizations/{orgId}/share-types                         │    │</w:t>
      </w:r>
      <w:r>
        <w:br/>
      </w:r>
      <w:r>
        <w:rPr>
          <w:rStyle w:val="VerbatimChar"/>
        </w:rPr>
        <w:t xml:space="preserve">│  │ → Creates ShareType record                                      │    │</w:t>
      </w:r>
      <w:r>
        <w:br/>
      </w:r>
      <w:r>
        <w:rPr>
          <w:rStyle w:val="VerbatimChar"/>
        </w:rPr>
        <w:t xml:space="preserve">│  │ → Enqueues "ShareTypeCreated" outbound event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2. Blockchain Sync Service Processes Event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BlockchainSyncService picks up event from queue                 │    │</w:t>
      </w:r>
      <w:r>
        <w:br/>
      </w:r>
      <w:r>
        <w:rPr>
          <w:rStyle w:val="VerbatimChar"/>
        </w:rPr>
        <w:t xml:space="preserve">│  │ → Derives mint PDA from org_uuid + share_type_uuid              │    │</w:t>
      </w:r>
      <w:r>
        <w:br/>
      </w:r>
      <w:r>
        <w:rPr>
          <w:rStyle w:val="VerbatimChar"/>
        </w:rPr>
        <w:t xml:space="preserve">│  │ → Checks if mint already exists on-chain                        │    │</w:t>
      </w:r>
      <w:r>
        <w:br/>
      </w:r>
      <w:r>
        <w:rPr>
          <w:rStyle w:val="VerbatimChar"/>
        </w:rPr>
        <w:t xml:space="preserve">│  │ → If not exists, proceeds to creation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3. Prepare Token Mint Transaction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Build transaction with:                                         │    │</w:t>
      </w:r>
      <w:r>
        <w:br/>
      </w:r>
      <w:r>
        <w:rPr>
          <w:rStyle w:val="VerbatimChar"/>
        </w:rPr>
        <w:t xml:space="preserve">│  │ → CreateMint instruction (Token-2022 or SPL Token)              │    │</w:t>
      </w:r>
      <w:r>
        <w:br/>
      </w:r>
      <w:r>
        <w:rPr>
          <w:rStyle w:val="VerbatimChar"/>
        </w:rPr>
        <w:t xml:space="preserve">│  │ → Initialize extensions (if Token-2022):                        │    │</w:t>
      </w:r>
      <w:r>
        <w:br/>
      </w:r>
      <w:r>
        <w:rPr>
          <w:rStyle w:val="VerbatimChar"/>
        </w:rPr>
        <w:t xml:space="preserve">│  │   • Non-Transferable (if IsTransferable = false)                │    │</w:t>
      </w:r>
      <w:r>
        <w:br/>
      </w:r>
      <w:r>
        <w:rPr>
          <w:rStyle w:val="VerbatimChar"/>
        </w:rPr>
        <w:t xml:space="preserve">│  │   • MetadataPointer                                             │    │</w:t>
      </w:r>
      <w:r>
        <w:br/>
      </w:r>
      <w:r>
        <w:rPr>
          <w:rStyle w:val="VerbatimChar"/>
        </w:rPr>
        <w:t xml:space="preserve">│  │ → CreateMetadata instruction (Metaplex or native)               │    │</w:t>
      </w:r>
      <w:r>
        <w:br/>
      </w:r>
      <w:r>
        <w:rPr>
          <w:rStyle w:val="VerbatimChar"/>
        </w:rPr>
        <w:t xml:space="preserve">│  │ → Set mint authority to platform PDA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4. Submit and Confirm Transaction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→ Sign with platform authority keypair                          │    │</w:t>
      </w:r>
      <w:r>
        <w:br/>
      </w:r>
      <w:r>
        <w:rPr>
          <w:rStyle w:val="VerbatimChar"/>
        </w:rPr>
        <w:t xml:space="preserve">│  │ → Submit to Solana network                                      │    │</w:t>
      </w:r>
      <w:r>
        <w:br/>
      </w:r>
      <w:r>
        <w:rPr>
          <w:rStyle w:val="VerbatimChar"/>
        </w:rPr>
        <w:t xml:space="preserve">│  │ → Wait for confirmation (finalized)                             │    │</w:t>
      </w:r>
      <w:r>
        <w:br/>
      </w:r>
      <w:r>
        <w:rPr>
          <w:rStyle w:val="VerbatimChar"/>
        </w:rPr>
        <w:t xml:space="preserve">│  │ → Retry with exponential backoff on failure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5. Update Database with On-Chain Reference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→ Store mint address in ShareType.MintAddress field             │    │</w:t>
      </w:r>
      <w:r>
        <w:br/>
      </w:r>
      <w:r>
        <w:rPr>
          <w:rStyle w:val="VerbatimChar"/>
        </w:rPr>
        <w:t xml:space="preserve">│  │ → Store creation transaction signature                          │    │</w:t>
      </w:r>
      <w:r>
        <w:br/>
      </w:r>
      <w:r>
        <w:rPr>
          <w:rStyle w:val="VerbatimChar"/>
        </w:rPr>
        <w:t xml:space="preserve">│  │ → Update sync status to "Synced"                                │    │</w:t>
      </w:r>
      <w:r>
        <w:br/>
      </w:r>
      <w:r>
        <w:rPr>
          <w:rStyle w:val="VerbatimChar"/>
        </w:rPr>
        <w:t xml:space="preserve">│  │ → Mark outbound event as processed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16"/>
    <w:bookmarkStart w:id="17" w:name="who-triggers-mint-creation"/>
    <w:p>
      <w:pPr>
        <w:pStyle w:val="Heading3"/>
      </w:pPr>
      <w:r>
        <w:t xml:space="preserve">2.3 Who Triggers Mint Creation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11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OrgAdmin</w:t>
            </w:r>
          </w:p>
        </w:tc>
        <w:tc>
          <w:tcPr/>
          <w:p>
            <w:pPr>
              <w:pStyle w:val="Compact"/>
            </w:pPr>
            <w:r>
              <w:t xml:space="preserve">Creates ShareType via API</w:t>
            </w:r>
          </w:p>
        </w:tc>
        <w:tc>
          <w:tcPr/>
          <w:p>
            <w:pPr>
              <w:pStyle w:val="Compact"/>
            </w:pPr>
            <w:r>
              <w:t xml:space="preserve">Must be OrgAdmin for the organization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Admin</w:t>
            </w:r>
          </w:p>
        </w:tc>
        <w:tc>
          <w:tcPr/>
          <w:p>
            <w:pPr>
              <w:pStyle w:val="Compact"/>
            </w:pPr>
            <w:r>
              <w:t xml:space="preserve">Creates ShareType via Admin API</w:t>
            </w:r>
          </w:p>
        </w:tc>
        <w:tc>
          <w:tcPr/>
          <w:p>
            <w:pPr>
              <w:pStyle w:val="Compact"/>
            </w:pPr>
            <w:r>
              <w:t xml:space="preserve">Platform administrator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Blockchain Sync Service</w:t>
            </w:r>
          </w:p>
        </w:tc>
        <w:tc>
          <w:tcPr/>
          <w:p>
            <w:pPr>
              <w:pStyle w:val="Compact"/>
            </w:pPr>
            <w:r>
              <w:t xml:space="preserve">Executes on-chain transaction</w:t>
            </w:r>
          </w:p>
        </w:tc>
        <w:tc>
          <w:tcPr/>
          <w:p>
            <w:pPr>
              <w:pStyle w:val="Compact"/>
            </w:pPr>
            <w:r>
              <w:t xml:space="preserve">Uses platform authority keypair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End users never directly create token mints. All mint creation is controlled by the platform through the sync service.</w:t>
      </w:r>
    </w:p>
    <w:bookmarkEnd w:id="17"/>
    <w:bookmarkStart w:id="18" w:name="idempotency-and-error-handling"/>
    <w:p>
      <w:pPr>
        <w:pStyle w:val="Heading3"/>
      </w:pPr>
      <w:r>
        <w:t xml:space="preserve">2.4 Idempotency and Error Handling</w:t>
      </w:r>
    </w:p>
    <w:p>
      <w:pPr>
        <w:pStyle w:val="FirstParagraph"/>
      </w:pPr>
      <w:r>
        <w:t xml:space="preserve">The mint creation process must be idempotent: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createOrGetMint</w:t>
      </w:r>
      <w:r>
        <w:rPr>
          <w:rStyle w:val="NormalTok"/>
        </w:rPr>
        <w:t xml:space="preserve">(shareType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ShareType)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Derive expected mint address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[mintPda]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deriveMintPda</w:t>
      </w:r>
      <w:r>
        <w:rPr>
          <w:rStyle w:val="NormalTok"/>
        </w:rPr>
        <w:t xml:space="preserve">(shareType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organizationId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mint already exists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mintAccount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getAccountInfo</w:t>
      </w:r>
      <w:r>
        <w:rPr>
          <w:rStyle w:val="NormalTok"/>
        </w:rPr>
        <w:t xml:space="preserve">(mintPda)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(mintAccount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Mint already exists, verify it matches expected configuration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verifyMintConfiguration</w:t>
      </w:r>
      <w:r>
        <w:rPr>
          <w:rStyle w:val="NormalTok"/>
        </w:rPr>
        <w:t xml:space="preserve">(mintPda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mintPda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new mint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createTokenMint</w:t>
      </w:r>
      <w:r>
        <w:rPr>
          <w:rStyle w:val="NormalTok"/>
        </w:rPr>
        <w:t xml:space="preserve">(shareType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mintPda)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recovery:</w:t>
      </w:r>
      <w:r>
        <w:t xml:space="preserve"> </w:t>
      </w:r>
      <w:r>
        <w:t xml:space="preserve">- Transient failures: Retry with exponential backoff (3 attempts)</w:t>
      </w:r>
      <w:r>
        <w:t xml:space="preserve"> </w:t>
      </w:r>
      <w:r>
        <w:t xml:space="preserve">- Permanent failures: Mark event as failed, alert operators</w:t>
      </w:r>
      <w:r>
        <w:t xml:space="preserve"> </w:t>
      </w:r>
      <w:r>
        <w:t xml:space="preserve">- Partial failures: Check on-chain state before retrying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token-metadata-structure"/>
    <w:p>
      <w:pPr>
        <w:pStyle w:val="Heading2"/>
      </w:pPr>
      <w:r>
        <w:t xml:space="preserve">3. Token Metadata Structure</w:t>
      </w:r>
    </w:p>
    <w:bookmarkStart w:id="22" w:name="metaplex-token-metadata-standard"/>
    <w:p>
      <w:pPr>
        <w:pStyle w:val="Heading3"/>
      </w:pPr>
      <w:r>
        <w:t xml:space="preserve">3.1 Metaplex Token Metadata Standard</w:t>
      </w:r>
    </w:p>
    <w:p>
      <w:pPr>
        <w:pStyle w:val="FirstParagraph"/>
      </w:pPr>
      <w:r>
        <w:t xml:space="preserve">For maximum ecosystem compatibility, ShareType tokens use the Metaplex Token Metadata standard:</w:t>
      </w:r>
    </w:p>
    <w:bookmarkStart w:id="20" w:name="on-chain-metadata"/>
    <w:p>
      <w:pPr>
        <w:pStyle w:val="Heading4"/>
      </w:pPr>
      <w:r>
        <w:t xml:space="preserve">On-Chain Metadata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Account type discriminator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update_authority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Can update metadata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Associated token mint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ShareType.Name (max 32 chars)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ShareType.Symbol (max 10 chars)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Link to off-chain JSON (max 200 chars)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seller_fee_basis_points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for governance tokens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creators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Creator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Platform as creator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primary_sale_happened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for governance tokens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is_mutable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true to allow updates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edition_nonce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None for fungible tokens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token_standard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TokenStandard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Fungible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collection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Collection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Organization collection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None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off-chain-metadata-json-at-uri"/>
    <w:p>
      <w:pPr>
        <w:pStyle w:val="Heading4"/>
      </w:pPr>
      <w:r>
        <w:t xml:space="preserve">Off-Chain Metadata (JSON at URI)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 Ticket Holder Share"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"MUFC-STH"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"Governance share for Manchester United FC season ticket holders. Grants voting rights on club decisions."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"https://cdn.fanengagement.io/orgs/mufc/share-types/sth-logo.png"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"https://fanengagement.io/orgs/mufc/shares/sth"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"Manchester United FC"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 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"abc123-def456-..."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Type 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"st_001-..."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"Voting Weight"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Supply"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Transferable"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"trait_type"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"2024-11-15T10:30:00Z"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"FanEngPlatformAuthority..."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End w:id="22"/>
    <w:bookmarkStart w:id="23" w:name="mapping-sharetype-fields-to-metadata"/>
    <w:p>
      <w:pPr>
        <w:pStyle w:val="Heading3"/>
      </w:pPr>
      <w:r>
        <w:t xml:space="preserve">3.2 Mapping ShareType Fields to Metadata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0"/>
        <w:gridCol w:w="34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ShareType Field</w:t>
            </w:r>
          </w:p>
        </w:tc>
        <w:tc>
          <w:tcPr/>
          <w:p>
            <w:pPr>
              <w:pStyle w:val="Compact"/>
            </w:pPr>
            <w:r>
              <w:t xml:space="preserve">Metadata Location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data.name</w:t>
            </w:r>
            <w:r>
              <w:t xml:space="preserve"> </w:t>
            </w:r>
            <w:r>
              <w:t xml:space="preserve">(on-chain)</w:t>
            </w:r>
          </w:p>
        </w:tc>
        <w:tc>
          <w:tcPr/>
          <w:p>
            <w:pPr>
              <w:pStyle w:val="Compact"/>
            </w:pPr>
            <w:r>
              <w:t xml:space="preserve">String, max 32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data.symbol</w:t>
            </w:r>
            <w:r>
              <w:t xml:space="preserve"> </w:t>
            </w:r>
            <w:r>
              <w:t xml:space="preserve">(on-chain)</w:t>
            </w:r>
          </w:p>
        </w:tc>
        <w:tc>
          <w:tcPr/>
          <w:p>
            <w:pPr>
              <w:pStyle w:val="Compact"/>
            </w:pPr>
            <w:r>
              <w:t xml:space="preserve">String, max 10 chars, uppercase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(off-chain JSON)</w:t>
            </w:r>
          </w:p>
        </w:tc>
        <w:tc>
          <w:tcPr/>
          <w:p>
            <w:pPr>
              <w:pStyle w:val="Compact"/>
            </w:pPr>
            <w:r>
              <w:t xml:space="preserve">String,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VotingWeight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attributes[].value</w:t>
            </w:r>
            <w:r>
              <w:t xml:space="preserve"> </w:t>
            </w:r>
            <w:r>
              <w:t xml:space="preserve">(off-chain)</w:t>
            </w:r>
          </w:p>
        </w:tc>
        <w:tc>
          <w:tcPr/>
          <w:p>
            <w:pPr>
              <w:pStyle w:val="Compact"/>
            </w:pPr>
            <w:r>
              <w:t xml:space="preserve">Number with trait_type</w:t>
            </w:r>
            <w:r>
              <w:t xml:space="preserve"> </w:t>
            </w:r>
            <w:r>
              <w:t xml:space="preserve">“Voting Weight”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MaxSupply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attributes[].value</w:t>
            </w:r>
            <w:r>
              <w:t xml:space="preserve"> </w:t>
            </w:r>
            <w:r>
              <w:t xml:space="preserve">(off-chain)</w:t>
            </w:r>
          </w:p>
        </w:tc>
        <w:tc>
          <w:tcPr/>
          <w:p>
            <w:pPr>
              <w:pStyle w:val="Compact"/>
            </w:pPr>
            <w:r>
              <w:t xml:space="preserve">Number with trait_type</w:t>
            </w:r>
            <w:r>
              <w:t xml:space="preserve"> </w:t>
            </w:r>
            <w:r>
              <w:t xml:space="preserve">“Max Supply”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IsTransferable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attributes[].value</w:t>
            </w:r>
            <w:r>
              <w:t xml:space="preserve"> </w:t>
            </w:r>
            <w:r>
              <w:t xml:space="preserve">(off-chain) + Token-2022 extension</w:t>
            </w:r>
          </w:p>
        </w:tc>
        <w:tc>
          <w:tcPr/>
          <w:p>
            <w:pPr>
              <w:pStyle w:val="Compact"/>
            </w:pPr>
            <w:r>
              <w:t xml:space="preserve">“Yes”</w:t>
            </w:r>
            <w:r>
              <w:t xml:space="preserve">/</w:t>
            </w:r>
            <w:r>
              <w:t xml:space="preserve">“No”</w:t>
            </w:r>
            <w:r>
              <w:t xml:space="preserve"> </w:t>
            </w:r>
            <w:r>
              <w:t xml:space="preserve">+ protocol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attributes[].value</w:t>
            </w:r>
            <w:r>
              <w:t xml:space="preserve"> </w:t>
            </w:r>
            <w:r>
              <w:t xml:space="preserve">(off-chain)</w:t>
            </w:r>
          </w:p>
        </w:tc>
        <w:tc>
          <w:tcPr/>
          <w:p>
            <w:pPr>
              <w:pStyle w:val="Compact"/>
            </w:pPr>
            <w:r>
              <w:t xml:space="preserve">UUID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attributes[].value</w:t>
            </w:r>
            <w:r>
              <w:t xml:space="preserve"> </w:t>
            </w:r>
            <w:r>
              <w:t xml:space="preserve">(off-chain)</w:t>
            </w:r>
          </w:p>
        </w:tc>
        <w:tc>
          <w:tcPr/>
          <w:p>
            <w:pPr>
              <w:pStyle w:val="Compact"/>
            </w:pPr>
            <w:r>
              <w:t xml:space="preserve">ISO 8601 timestamp</w:t>
            </w:r>
          </w:p>
        </w:tc>
      </w:tr>
    </w:tbl>
    <w:bookmarkEnd w:id="23"/>
    <w:bookmarkStart w:id="24" w:name="token-decimals"/>
    <w:p>
      <w:pPr>
        <w:pStyle w:val="Heading3"/>
      </w:pPr>
      <w:r>
        <w:t xml:space="preserve">3.3 Token Decimals</w:t>
      </w:r>
    </w:p>
    <w:p>
      <w:pPr>
        <w:pStyle w:val="FirstParagraph"/>
      </w:pPr>
      <w:r>
        <w:rPr>
          <w:b/>
          <w:bCs/>
        </w:rPr>
        <w:t xml:space="preserve">Recommendation: 0 decimals for governance tokens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554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Decimals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Governance shares</w:t>
            </w:r>
          </w:p>
        </w:tc>
        <w:tc>
          <w:tcPr/>
          <w:p>
            <w:pPr>
              <w:pStyle w:val="Compact"/>
            </w:pPr>
            <w:r>
              <w:t xml:space="preserve">Shares are typically whole units; matches DB</w:t>
            </w:r>
            <w:r>
              <w:t xml:space="preserve"> </w:t>
            </w:r>
            <w:r>
              <w:rPr>
                <w:rStyle w:val="VerbatimChar"/>
              </w:rPr>
              <w:t xml:space="preserve">decimal</w:t>
            </w:r>
            <w:r>
              <w:t xml:space="preserve"> </w:t>
            </w:r>
            <w:r>
              <w:t xml:space="preserve">type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Allows fractional shares if future requirements need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SOL-compatible</w:t>
            </w:r>
          </w:p>
        </w:tc>
        <w:tc>
          <w:tcPr/>
          <w:p>
            <w:pPr>
              <w:pStyle w:val="Compact"/>
            </w:pPr>
            <w:r>
              <w:t xml:space="preserve">Maximum precision, but unnecessary for governance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Decision:</w:t>
      </w:r>
      <w:r>
        <w:t xml:space="preserve"> </w:t>
      </w:r>
      <w:r>
        <w:t xml:space="preserve">Use 0 decimals. ShareType balances in the database are stored as</w:t>
      </w:r>
      <w:r>
        <w:t xml:space="preserve"> </w:t>
      </w:r>
      <w:r>
        <w:rPr>
          <w:rStyle w:val="VerbatimChar"/>
        </w:rPr>
        <w:t xml:space="preserve">decimal(20,4)</w:t>
      </w:r>
      <w:r>
        <w:t xml:space="preserve">, but governance shares are typically issued as whole units. If fractional shares become necessary, a new ShareType with appropriate decimals can be created.</w:t>
      </w:r>
    </w:p>
    <w:bookmarkEnd w:id="24"/>
    <w:bookmarkStart w:id="25" w:name="metadata-storage-options"/>
    <w:p>
      <w:pPr>
        <w:pStyle w:val="Heading3"/>
      </w:pPr>
      <w:r>
        <w:t xml:space="preserve">3.4 Metadata Storage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320"/>
        <w:gridCol w:w="132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IPFS</w:t>
            </w:r>
          </w:p>
        </w:tc>
        <w:tc>
          <w:tcPr/>
          <w:p>
            <w:pPr>
              <w:pStyle w:val="Compact"/>
            </w:pPr>
            <w:r>
              <w:t xml:space="preserve">Decentralized, permanent</w:t>
            </w:r>
          </w:p>
        </w:tc>
        <w:tc>
          <w:tcPr/>
          <w:p>
            <w:pPr>
              <w:pStyle w:val="Compact"/>
            </w:pPr>
            <w:r>
              <w:t xml:space="preserve">Requires pinning service</w:t>
            </w:r>
          </w:p>
        </w:tc>
        <w:tc>
          <w:tcPr/>
          <w:p>
            <w:pPr>
              <w:pStyle w:val="Compact"/>
            </w:pPr>
            <w:r>
              <w:t xml:space="preserve">✅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Arweave</w:t>
            </w:r>
          </w:p>
        </w:tc>
        <w:tc>
          <w:tcPr/>
          <w:p>
            <w:pPr>
              <w:pStyle w:val="Compact"/>
            </w:pPr>
            <w:r>
              <w:t xml:space="preserve">Permanent, one-time payment</w:t>
            </w:r>
          </w:p>
        </w:tc>
        <w:tc>
          <w:tcPr/>
          <w:p>
            <w:pPr>
              <w:pStyle w:val="Compact"/>
            </w:pPr>
            <w:r>
              <w:t xml:space="preserve">Higher initial cost</w:t>
            </w:r>
          </w:p>
        </w:tc>
        <w:tc>
          <w:tcPr/>
          <w:p>
            <w:pPr>
              <w:pStyle w:val="Compact"/>
            </w:pPr>
            <w:r>
              <w:t xml:space="preserve">Future consideration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CDN</w:t>
            </w:r>
          </w:p>
        </w:tc>
        <w:tc>
          <w:tcPr/>
          <w:p>
            <w:pPr>
              <w:pStyle w:val="Compact"/>
            </w:pPr>
            <w:r>
              <w:t xml:space="preserve">Simple, fast</w:t>
            </w:r>
          </w:p>
        </w:tc>
        <w:tc>
          <w:tcPr/>
          <w:p>
            <w:pPr>
              <w:pStyle w:val="Compact"/>
            </w:pPr>
            <w:r>
              <w:t xml:space="preserve">Centralized</w:t>
            </w:r>
          </w:p>
        </w:tc>
        <w:tc>
          <w:tcPr/>
          <w:p>
            <w:pPr>
              <w:pStyle w:val="Compact"/>
            </w:pPr>
            <w:r>
              <w:t xml:space="preserve">Backup/fallback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Token-2022 Native</w:t>
            </w:r>
          </w:p>
        </w:tc>
        <w:tc>
          <w:tcPr/>
          <w:p>
            <w:pPr>
              <w:pStyle w:val="Compact"/>
            </w:pPr>
            <w:r>
              <w:t xml:space="preserve">On-chain, no external dependency</w:t>
            </w:r>
          </w:p>
        </w:tc>
        <w:tc>
          <w:tcPr/>
          <w:p>
            <w:pPr>
              <w:pStyle w:val="Compact"/>
            </w:pPr>
            <w:r>
              <w:t xml:space="preserve">Limited size, higher rent</w:t>
            </w:r>
          </w:p>
        </w:tc>
        <w:tc>
          <w:tcPr/>
          <w:p>
            <w:pPr>
              <w:pStyle w:val="Compact"/>
            </w:pPr>
            <w:r>
              <w:t xml:space="preserve">For critical fields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Approach:</w:t>
      </w:r>
      <w:r>
        <w:t xml:space="preserve"> </w:t>
      </w:r>
      <w:r>
        <w:t xml:space="preserve">Store metadata JSON on IPFS via Pinata or similar service, with platform CDN as fallback. URI format:</w:t>
      </w:r>
      <w:r>
        <w:t xml:space="preserve"> </w:t>
      </w:r>
      <w:r>
        <w:rPr>
          <w:rStyle w:val="VerbatimChar"/>
        </w:rPr>
        <w:t xml:space="preserve">https://gateway.pinata.cloud/ipfs/{cid}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ipfs://{cid}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mint-authority-management"/>
    <w:p>
      <w:pPr>
        <w:pStyle w:val="Heading2"/>
      </w:pPr>
      <w:r>
        <w:t xml:space="preserve">4. Mint Authority Management</w:t>
      </w:r>
    </w:p>
    <w:bookmarkStart w:id="27" w:name="authority-types"/>
    <w:p>
      <w:pPr>
        <w:pStyle w:val="Heading3"/>
      </w:pPr>
      <w:r>
        <w:t xml:space="preserve">4.1 Authority Types</w:t>
      </w:r>
    </w:p>
    <w:p>
      <w:pPr>
        <w:pStyle w:val="FirstParagraph"/>
      </w:pPr>
      <w:r>
        <w:t xml:space="preserve">SPL tokens have two key authorities: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096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Who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Mint Authority</w:t>
            </w:r>
          </w:p>
        </w:tc>
        <w:tc>
          <w:tcPr/>
          <w:p>
            <w:pPr>
              <w:pStyle w:val="Compact"/>
            </w:pPr>
            <w:r>
              <w:t xml:space="preserve">Can mint new tokens</w:t>
            </w:r>
          </w:p>
        </w:tc>
        <w:tc>
          <w:tcPr/>
          <w:p>
            <w:pPr>
              <w:pStyle w:val="Compact"/>
            </w:pPr>
            <w:r>
              <w:t xml:space="preserve">Platform (required for issuance)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Freeze Authority</w:t>
            </w:r>
          </w:p>
        </w:tc>
        <w:tc>
          <w:tcPr/>
          <w:p>
            <w:pPr>
              <w:pStyle w:val="Compact"/>
            </w:pPr>
            <w:r>
              <w:t xml:space="preserve">Can freeze token accounts</w:t>
            </w:r>
          </w:p>
        </w:tc>
        <w:tc>
          <w:tcPr/>
          <w:p>
            <w:pPr>
              <w:pStyle w:val="Compact"/>
            </w:pPr>
            <w:r>
              <w:t xml:space="preserve">Platform (optional, for compliance)</w:t>
            </w:r>
          </w:p>
        </w:tc>
      </w:tr>
    </w:tbl>
    <w:bookmarkEnd w:id="27"/>
    <w:bookmarkStart w:id="28" w:name="mvp-platform-controlled-authority"/>
    <w:p>
      <w:pPr>
        <w:pStyle w:val="Heading3"/>
      </w:pPr>
      <w:r>
        <w:t xml:space="preserve">4.2 MVP: Platform-Controlled Authority</w:t>
      </w:r>
    </w:p>
    <w:p>
      <w:pPr>
        <w:pStyle w:val="FirstParagraph"/>
      </w:pPr>
      <w:r>
        <w:t xml:space="preserve">For MVP, use a single platform-controlled keypair as mint authority: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MVP Authority Model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Platform Authority Keypair (stored in secure vault)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Public Key: FanEngAuthority...xyz                               │    │</w:t>
      </w:r>
      <w:r>
        <w:br/>
      </w:r>
      <w:r>
        <w:rPr>
          <w:rStyle w:val="VerbatimChar"/>
        </w:rPr>
        <w:t xml:space="preserve">│  │ Private Key: [Stored in AWS KMS / HashiCorp Vault]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│    │</w:t>
      </w:r>
      <w:r>
        <w:br/>
      </w:r>
      <w:r>
        <w:rPr>
          <w:rStyle w:val="VerbatimChar"/>
        </w:rPr>
        <w:t xml:space="preserve">│  │ Permissions:                                                    │    │</w:t>
      </w:r>
      <w:r>
        <w:br/>
      </w:r>
      <w:r>
        <w:rPr>
          <w:rStyle w:val="VerbatimChar"/>
        </w:rPr>
        <w:t xml:space="preserve">│  │ → Mint tokens for all ShareTypes                                │    │</w:t>
      </w:r>
      <w:r>
        <w:br/>
      </w:r>
      <w:r>
        <w:rPr>
          <w:rStyle w:val="VerbatimChar"/>
        </w:rPr>
        <w:t xml:space="preserve">│  │ → Update token metadata                                         │    │</w:t>
      </w:r>
      <w:r>
        <w:br/>
      </w:r>
      <w:r>
        <w:rPr>
          <w:rStyle w:val="VerbatimChar"/>
        </w:rPr>
        <w:t xml:space="preserve">│  │ → Freeze accounts (emergency use)                               │    │</w:t>
      </w:r>
      <w:r>
        <w:br/>
      </w:r>
      <w:r>
        <w:rPr>
          <w:rStyle w:val="VerbatimChar"/>
        </w:rPr>
        <w:t xml:space="preserve">│  │ → Transfer authority (for migration)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All Token Mints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     │</w:t>
      </w:r>
      <w:r>
        <w:br/>
      </w:r>
      <w:r>
        <w:rPr>
          <w:rStyle w:val="VerbatimChar"/>
        </w:rPr>
        <w:t xml:space="preserve">│  │ Org A        │  │ Org B        │  │ Org C        │                  │</w:t>
      </w:r>
      <w:r>
        <w:br/>
      </w:r>
      <w:r>
        <w:rPr>
          <w:rStyle w:val="VerbatimChar"/>
        </w:rPr>
        <w:t xml:space="preserve">│  │ ShareType 1  │  │ ShareType 1  │  │ ShareType 1  │                  │</w:t>
      </w:r>
      <w:r>
        <w:br/>
      </w:r>
      <w:r>
        <w:rPr>
          <w:rStyle w:val="VerbatimChar"/>
        </w:rPr>
        <w:t xml:space="preserve">│  │ Mint Auth:   │  │ Mint Auth:   │  │ Mint Auth:   │                  │</w:t>
      </w:r>
      <w:r>
        <w:br/>
      </w:r>
      <w:r>
        <w:rPr>
          <w:rStyle w:val="VerbatimChar"/>
        </w:rPr>
        <w:t xml:space="preserve">│  │ Platform     │  │ Platform     │  │ Platform     │   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Security measures for MVP:</w:t>
      </w:r>
      <w:r>
        <w:t xml:space="preserve"> </w:t>
      </w:r>
      <w:r>
        <w:t xml:space="preserve">- Private key stored in hardware security module (HSM) or cloud KMS</w:t>
      </w:r>
      <w:r>
        <w:t xml:space="preserve"> </w:t>
      </w:r>
      <w:r>
        <w:t xml:space="preserve">- Key access restricted to blockchain sync service</w:t>
      </w:r>
      <w:r>
        <w:t xml:space="preserve"> </w:t>
      </w:r>
      <w:r>
        <w:t xml:space="preserve">- Audit logging for all mint operations</w:t>
      </w:r>
      <w:r>
        <w:t xml:space="preserve"> </w:t>
      </w:r>
      <w:r>
        <w:t xml:space="preserve">- Rate limiting on mint operations</w:t>
      </w:r>
    </w:p>
    <w:bookmarkEnd w:id="28"/>
    <w:bookmarkStart w:id="29" w:name="future-multi-signature-authority"/>
    <w:p>
      <w:pPr>
        <w:pStyle w:val="Heading3"/>
      </w:pPr>
      <w:r>
        <w:t xml:space="preserve">4.3 Future: Multi-Signature Authority</w:t>
      </w:r>
    </w:p>
    <w:p>
      <w:pPr>
        <w:pStyle w:val="FirstParagraph"/>
      </w:pPr>
      <w:r>
        <w:t xml:space="preserve">For production, migrate to organization-controlled multisig: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Production Authority Model (Future)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Organization A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Multisig Authority (2-of-3):                                    │    │</w:t>
      </w:r>
      <w:r>
        <w:br/>
      </w:r>
      <w:r>
        <w:rPr>
          <w:rStyle w:val="VerbatimChar"/>
        </w:rPr>
        <w:t xml:space="preserve">│  │ → Platform Signer (FanEngagement)                               │    │</w:t>
      </w:r>
      <w:r>
        <w:br/>
      </w:r>
      <w:r>
        <w:rPr>
          <w:rStyle w:val="VerbatimChar"/>
        </w:rPr>
        <w:t xml:space="preserve">│  │ → OrgAdmin Signer 1 (Organization representative)               │    │</w:t>
      </w:r>
      <w:r>
        <w:br/>
      </w:r>
      <w:r>
        <w:rPr>
          <w:rStyle w:val="VerbatimChar"/>
        </w:rPr>
        <w:t xml:space="preserve">│  │ → OrgAdmin Signer 2 (Organization representative)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│    │</w:t>
      </w:r>
      <w:r>
        <w:br/>
      </w:r>
      <w:r>
        <w:rPr>
          <w:rStyle w:val="VerbatimChar"/>
        </w:rPr>
        <w:t xml:space="preserve">│  │ Token Mints controlled by this multisig:                        │    │</w:t>
      </w:r>
      <w:r>
        <w:br/>
      </w:r>
      <w:r>
        <w:rPr>
          <w:rStyle w:val="VerbatimChar"/>
        </w:rPr>
        <w:t xml:space="preserve">│  │ → MUFC-STH (Season Ticket Holder)                               │    │</w:t>
      </w:r>
      <w:r>
        <w:br/>
      </w:r>
      <w:r>
        <w:rPr>
          <w:rStyle w:val="VerbatimChar"/>
        </w:rPr>
        <w:t xml:space="preserve">│  │ → MUFC-FM (Founding Member)                                     │    │</w:t>
      </w:r>
      <w:r>
        <w:br/>
      </w:r>
      <w:r>
        <w:rPr>
          <w:rStyle w:val="VerbatimChar"/>
        </w:rPr>
        <w:t xml:space="preserve">│  │ → MUFC-GOLD (Gold Member)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Organization B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Multisig Authority (3-of-5):                                    │    │</w:t>
      </w:r>
      <w:r>
        <w:br/>
      </w:r>
      <w:r>
        <w:rPr>
          <w:rStyle w:val="VerbatimChar"/>
        </w:rPr>
        <w:t xml:space="preserve">│  │ → Platform Signer (FanEngagement)                               │    │</w:t>
      </w:r>
      <w:r>
        <w:br/>
      </w:r>
      <w:r>
        <w:rPr>
          <w:rStyle w:val="VerbatimChar"/>
        </w:rPr>
        <w:t xml:space="preserve">│  │ → OrgAdmin Signer 1-4 (Organization representatives)            │    │</w:t>
      </w:r>
      <w:r>
        <w:br/>
      </w:r>
      <w:r>
        <w:rPr>
          <w:rStyle w:val="VerbatimChar"/>
        </w:rPr>
        <w:t xml:space="preserve">│  │                                                                 │    │</w:t>
      </w:r>
      <w:r>
        <w:br/>
      </w:r>
      <w:r>
        <w:rPr>
          <w:rStyle w:val="VerbatimChar"/>
        </w:rPr>
        <w:t xml:space="preserve">│  │ Token Mints controlled by this multisig:                        │    │</w:t>
      </w:r>
      <w:r>
        <w:br/>
      </w:r>
      <w:r>
        <w:rPr>
          <w:rStyle w:val="VerbatimChar"/>
        </w:rPr>
        <w:t xml:space="preserve">│  │ → LFC-MEMBER (Member Share)                                     │    │</w:t>
      </w:r>
      <w:r>
        <w:br/>
      </w:r>
      <w:r>
        <w:rPr>
          <w:rStyle w:val="VerbatimChar"/>
        </w:rPr>
        <w:t xml:space="preserve">│  │ → LFC-VIP (VIP Share)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Multisig implementation options: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Squads Protocol</w:t>
      </w:r>
      <w:r>
        <w:t xml:space="preserve"> </w:t>
      </w:r>
      <w:r>
        <w:t xml:space="preserve">- Most popular Solana multisig, battle-tested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SPL Token Multisig</w:t>
      </w:r>
      <w:r>
        <w:t xml:space="preserve"> </w:t>
      </w:r>
      <w:r>
        <w:t xml:space="preserve">- Native SPL multisig account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Custom program</w:t>
      </w:r>
      <w:r>
        <w:t xml:space="preserve"> </w:t>
      </w:r>
      <w:r>
        <w:t xml:space="preserve">- Built into FanEngagement governance program</w:t>
      </w:r>
    </w:p>
    <w:bookmarkEnd w:id="29"/>
    <w:bookmarkStart w:id="30" w:name="authority-transition-process"/>
    <w:p>
      <w:pPr>
        <w:pStyle w:val="Heading3"/>
      </w:pPr>
      <w:r>
        <w:t xml:space="preserve">4.4 Authority Transition Process</w:t>
      </w:r>
    </w:p>
    <w:p>
      <w:pPr>
        <w:pStyle w:val="FirstParagraph"/>
      </w:pPr>
      <w:r>
        <w:t xml:space="preserve">To migrate from platform authority to multisig:</w:t>
      </w:r>
    </w:p>
    <w:p>
      <w:pPr>
        <w:pStyle w:val="SourceCode"/>
      </w:pPr>
      <w:r>
        <w:rPr>
          <w:rStyle w:val="CommentTok"/>
        </w:rPr>
        <w:t xml:space="preserve">// 1. Create multisig account for organization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multisigPda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createOrgMultisig</w:t>
      </w:r>
      <w:r>
        <w:rPr>
          <w:rStyle w:val="NormalTok"/>
        </w:rPr>
        <w:t xml:space="preserve">(orgId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Transfer mint authority to multisig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transferIx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createSetAuthorityInstruction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mintAddress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currentAuthority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AuthorityType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MintTokens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multisigPda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Execute with current authority signature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sendAndConfirmTransaction</w:t>
      </w:r>
      <w:r>
        <w:rPr>
          <w:rStyle w:val="NormalTok"/>
        </w:rPr>
        <w:t xml:space="preserve">(connection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[currentAuthoritySigner])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Update database to reflect new authority model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updateShareTypeAuthorityModel</w:t>
      </w:r>
      <w:r>
        <w:rPr>
          <w:rStyle w:val="NormalTok"/>
        </w:rPr>
        <w:t xml:space="preserve">(shareTypeId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'MULTISIG'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multisigPda)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token-issuance-workflow"/>
    <w:p>
      <w:pPr>
        <w:pStyle w:val="Heading2"/>
      </w:pPr>
      <w:r>
        <w:t xml:space="preserve">5. Token Issuance Workflow</w:t>
      </w:r>
    </w:p>
    <w:bookmarkStart w:id="32" w:name="database-to-blockchain-synchronization"/>
    <w:p>
      <w:pPr>
        <w:pStyle w:val="Heading3"/>
      </w:pPr>
      <w:r>
        <w:t xml:space="preserve">5.1 Database to Blockchain Synchronization</w:t>
      </w:r>
    </w:p>
    <w:p>
      <w:pPr>
        <w:pStyle w:val="FirstParagraph"/>
      </w:pPr>
      <w:r>
        <w:t xml:space="preserve">Token issuance follows the existing ShareIssuance model, with blockchain synchronization as an additional step: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Token Issuance Workflow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1. Share Issuance Created in Database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POST /organizations/{orgId}/share-issuances                     │    │</w:t>
      </w:r>
      <w:r>
        <w:br/>
      </w:r>
      <w:r>
        <w:rPr>
          <w:rStyle w:val="VerbatimChar"/>
        </w:rPr>
        <w:t xml:space="preserve">│  │ Request: { userId, shareTypeId, quantity: 100 }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│    │</w:t>
      </w:r>
      <w:r>
        <w:br/>
      </w:r>
      <w:r>
        <w:rPr>
          <w:rStyle w:val="VerbatimChar"/>
        </w:rPr>
        <w:t xml:space="preserve">│  │ Service Layer:                                                  │    │</w:t>
      </w:r>
      <w:r>
        <w:br/>
      </w:r>
      <w:r>
        <w:rPr>
          <w:rStyle w:val="VerbatimChar"/>
        </w:rPr>
        <w:t xml:space="preserve">│  │ → Validate user is org member                                   │    │</w:t>
      </w:r>
      <w:r>
        <w:br/>
      </w:r>
      <w:r>
        <w:rPr>
          <w:rStyle w:val="VerbatimChar"/>
        </w:rPr>
        <w:t xml:space="preserve">│  │ → Validate MaxSupply not exceeded (if set)                      │    │</w:t>
      </w:r>
      <w:r>
        <w:br/>
      </w:r>
      <w:r>
        <w:rPr>
          <w:rStyle w:val="VerbatimChar"/>
        </w:rPr>
        <w:t xml:space="preserve">│  │ → Create ShareIssuance record                                   │    │</w:t>
      </w:r>
      <w:r>
        <w:br/>
      </w:r>
      <w:r>
        <w:rPr>
          <w:rStyle w:val="VerbatimChar"/>
        </w:rPr>
        <w:t xml:space="preserve">│  │ → Update ShareBalance (increment by quantity)                   │    │</w:t>
      </w:r>
      <w:r>
        <w:br/>
      </w:r>
      <w:r>
        <w:rPr>
          <w:rStyle w:val="VerbatimChar"/>
        </w:rPr>
        <w:t xml:space="preserve">│  │ → Enqueue "SharesIssued" outbound event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2. Blockchain Sync Service Processes Event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Event payload:                                                  │    │</w:t>
      </w:r>
      <w:r>
        <w:br/>
      </w:r>
      <w:r>
        <w:rPr>
          <w:rStyle w:val="VerbatimChar"/>
        </w:rPr>
        <w:t xml:space="preserve">│  │ {                                                               │    │</w:t>
      </w:r>
      <w:r>
        <w:br/>
      </w:r>
      <w:r>
        <w:rPr>
          <w:rStyle w:val="VerbatimChar"/>
        </w:rPr>
        <w:t xml:space="preserve">│  │   "eventType": "SharesIssued",                                  │    │</w:t>
      </w:r>
      <w:r>
        <w:br/>
      </w:r>
      <w:r>
        <w:rPr>
          <w:rStyle w:val="VerbatimChar"/>
        </w:rPr>
        <w:t xml:space="preserve">│  │   "organizationId": "abc-123",                                  │    │</w:t>
      </w:r>
      <w:r>
        <w:br/>
      </w:r>
      <w:r>
        <w:rPr>
          <w:rStyle w:val="VerbatimChar"/>
        </w:rPr>
        <w:t xml:space="preserve">│  │   "shareTypeId": "st-001",                                      │    │</w:t>
      </w:r>
      <w:r>
        <w:br/>
      </w:r>
      <w:r>
        <w:rPr>
          <w:rStyle w:val="VerbatimChar"/>
        </w:rPr>
        <w:t xml:space="preserve">│  │   "userId": "user-456",                                         │    │</w:t>
      </w:r>
      <w:r>
        <w:br/>
      </w:r>
      <w:r>
        <w:rPr>
          <w:rStyle w:val="VerbatimChar"/>
        </w:rPr>
        <w:t xml:space="preserve">│  │   "quantity": 100,                                              │    │</w:t>
      </w:r>
      <w:r>
        <w:br/>
      </w:r>
      <w:r>
        <w:rPr>
          <w:rStyle w:val="VerbatimChar"/>
        </w:rPr>
        <w:t xml:space="preserve">│  │   "issuanceId": "iss-789"                                       │    │</w:t>
      </w:r>
      <w:r>
        <w:br/>
      </w:r>
      <w:r>
        <w:rPr>
          <w:rStyle w:val="VerbatimChar"/>
        </w:rPr>
        <w:t xml:space="preserve">│  │ }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3. Resolve User Wallet Address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Options:                                                        │    │</w:t>
      </w:r>
      <w:r>
        <w:br/>
      </w:r>
      <w:r>
        <w:rPr>
          <w:rStyle w:val="VerbatimChar"/>
        </w:rPr>
        <w:t xml:space="preserve">│  │ A) User has linked Solana wallet → Use linked wallet address    │    │</w:t>
      </w:r>
      <w:r>
        <w:br/>
      </w:r>
      <w:r>
        <w:rPr>
          <w:rStyle w:val="VerbatimChar"/>
        </w:rPr>
        <w:t xml:space="preserve">│  │ B) User has no wallet → Create custodial wallet (PDA)           │    │</w:t>
      </w:r>
      <w:r>
        <w:br/>
      </w:r>
      <w:r>
        <w:rPr>
          <w:rStyle w:val="VerbatimChar"/>
        </w:rPr>
        <w:t xml:space="preserve">│  │ C) Deferred → Store pending issuance until wallet linked        │    │</w:t>
      </w:r>
      <w:r>
        <w:br/>
      </w:r>
      <w:r>
        <w:rPr>
          <w:rStyle w:val="VerbatimChar"/>
        </w:rPr>
        <w:t xml:space="preserve">│  │                                                                 │    │</w:t>
      </w:r>
      <w:r>
        <w:br/>
      </w:r>
      <w:r>
        <w:rPr>
          <w:rStyle w:val="VerbatimChar"/>
        </w:rPr>
        <w:t xml:space="preserve">│  │ MVP: Option B (Custodial PDA)                                   │    │</w:t>
      </w:r>
      <w:r>
        <w:br/>
      </w:r>
      <w:r>
        <w:rPr>
          <w:rStyle w:val="VerbatimChar"/>
        </w:rPr>
        <w:t xml:space="preserve">│  │ → Derive user wallet PDA: ["user_wallet", user_uuid]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4. Create or Get Associated Token Account (ATA)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If user doesn't have ATA for this token mint:                   │    │</w:t>
      </w:r>
      <w:r>
        <w:br/>
      </w:r>
      <w:r>
        <w:rPr>
          <w:rStyle w:val="VerbatimChar"/>
        </w:rPr>
        <w:t xml:space="preserve">│  │ → Create ATA instruction (rent paid by platform)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│    │</w:t>
      </w:r>
      <w:r>
        <w:br/>
      </w:r>
      <w:r>
        <w:rPr>
          <w:rStyle w:val="VerbatimChar"/>
        </w:rPr>
        <w:t xml:space="preserve">│  │ ATA derivation:                                                 │    │</w:t>
      </w:r>
      <w:r>
        <w:br/>
      </w:r>
      <w:r>
        <w:rPr>
          <w:rStyle w:val="VerbatimChar"/>
        </w:rPr>
        <w:t xml:space="preserve">│  │ getAssociatedTokenAddressSync(mintPda, userWalletPda)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5. Mint Tokens to User's ATA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Build transaction:                                              │    │</w:t>
      </w:r>
      <w:r>
        <w:br/>
      </w:r>
      <w:r>
        <w:rPr>
          <w:rStyle w:val="VerbatimChar"/>
        </w:rPr>
        <w:t xml:space="preserve">│  │ → CreateAssociatedTokenAccountIdempotent (if needed)            │    │</w:t>
      </w:r>
      <w:r>
        <w:br/>
      </w:r>
      <w:r>
        <w:rPr>
          <w:rStyle w:val="VerbatimChar"/>
        </w:rPr>
        <w:t xml:space="preserve">│  │ → MintTo instruction                                            │    │</w:t>
      </w:r>
      <w:r>
        <w:br/>
      </w:r>
      <w:r>
        <w:rPr>
          <w:rStyle w:val="VerbatimChar"/>
        </w:rPr>
        <w:t xml:space="preserve">│  │   • mint: shareType mint PDA                                    │    │</w:t>
      </w:r>
      <w:r>
        <w:br/>
      </w:r>
      <w:r>
        <w:rPr>
          <w:rStyle w:val="VerbatimChar"/>
        </w:rPr>
        <w:t xml:space="preserve">│  │   • destination: user's ATA                                     │    │</w:t>
      </w:r>
      <w:r>
        <w:br/>
      </w:r>
      <w:r>
        <w:rPr>
          <w:rStyle w:val="VerbatimChar"/>
        </w:rPr>
        <w:t xml:space="preserve">│  │   • authority: platform mint authority                          │    │</w:t>
      </w:r>
      <w:r>
        <w:br/>
      </w:r>
      <w:r>
        <w:rPr>
          <w:rStyle w:val="VerbatimChar"/>
        </w:rPr>
        <w:t xml:space="preserve">│  │   • amount: quantity (in base units, no decimals)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6. Confirm and Record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→ Wait for transaction confirmation (finalized)                 │    │</w:t>
      </w:r>
      <w:r>
        <w:br/>
      </w:r>
      <w:r>
        <w:rPr>
          <w:rStyle w:val="VerbatimChar"/>
        </w:rPr>
        <w:t xml:space="preserve">│  │ → Store transaction signature in ShareIssuance record           │    │</w:t>
      </w:r>
      <w:r>
        <w:br/>
      </w:r>
      <w:r>
        <w:rPr>
          <w:rStyle w:val="VerbatimChar"/>
        </w:rPr>
        <w:t xml:space="preserve">│  │ → Update issuance status to "OnChainConfirmed"                  │    │</w:t>
      </w:r>
      <w:r>
        <w:br/>
      </w:r>
      <w:r>
        <w:rPr>
          <w:rStyle w:val="VerbatimChar"/>
        </w:rPr>
        <w:t xml:space="preserve">│  │ → Mark outbound event as processed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6" w:name="wallet-models"/>
    <w:p>
      <w:pPr>
        <w:pStyle w:val="Heading3"/>
      </w:pPr>
      <w:r>
        <w:t xml:space="preserve">5.2 Wallet Models</w:t>
      </w:r>
    </w:p>
    <w:p>
      <w:pPr>
        <w:pStyle w:val="FirstParagraph"/>
      </w:pPr>
      <w:r>
        <w:t xml:space="preserve">Three approaches for handling user wallets:</w:t>
      </w:r>
    </w:p>
    <w:bookmarkStart w:id="33" w:name="X4671817f4496da555244ebaa1469d33b4c04077"/>
    <w:p>
      <w:pPr>
        <w:pStyle w:val="Heading4"/>
      </w:pPr>
      <w:r>
        <w:t xml:space="preserve">Option A: User-Linked Wallets (Self-Custody)</w:t>
      </w:r>
    </w:p>
    <w:p>
      <w:pPr>
        <w:pStyle w:val="SourceCode"/>
      </w:pPr>
      <w:r>
        <w:rPr>
          <w:rStyle w:val="CommentTok"/>
        </w:rPr>
        <w:t xml:space="preserve">// User links their own Solana wallet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UserWalletLink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walletAddress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User's Phantom/Solflare wallet</w:t>
      </w:r>
      <w:r>
        <w:br/>
      </w:r>
      <w:r>
        <w:rPr>
          <w:rStyle w:val="NormalTok"/>
        </w:rPr>
        <w:t xml:space="preserve">  linkedAt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verificationSignature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Proves wallet ownership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True self-custody, user controls private keys</w:t>
      </w:r>
      <w:r>
        <w:br/>
      </w:r>
      <w:r>
        <w:rPr>
          <w:b/>
          <w:bCs/>
        </w:rPr>
        <w:t xml:space="preserve">Cons:</w:t>
      </w:r>
      <w:r>
        <w:t xml:space="preserve"> </w:t>
      </w:r>
      <w:r>
        <w:t xml:space="preserve">Onboarding friction, users need Solana wallet</w:t>
      </w:r>
    </w:p>
    <w:bookmarkEnd w:id="33"/>
    <w:bookmarkStart w:id="34" w:name="Xfdcabb49d0193882d9ef797a6a83d7ff582214c"/>
    <w:p>
      <w:pPr>
        <w:pStyle w:val="Heading4"/>
      </w:pPr>
      <w:r>
        <w:t xml:space="preserve">Option B: Custodial PDA Wallets (MVP Recommended)</w:t>
      </w:r>
    </w:p>
    <w:p>
      <w:pPr>
        <w:pStyle w:val="SourceCode"/>
      </w:pPr>
      <w:r>
        <w:rPr>
          <w:rStyle w:val="CommentTok"/>
        </w:rPr>
        <w:t xml:space="preserve">// Platform manages wallets via PDA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[userWalletPda]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PublicKey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findProgramAddressSync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[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"user_wallet"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toBuffer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FAN_GOVERNANCE_PROGRAM_ID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Pros:</w:t>
      </w:r>
      <w:r>
        <w:t xml:space="preserve"> </w:t>
      </w:r>
      <w:r>
        <w:t xml:space="preserve">Seamless UX, no wallet required</w:t>
      </w:r>
      <w:r>
        <w:br/>
      </w:r>
      <w:r>
        <w:rPr>
          <w:b/>
          <w:bCs/>
        </w:rPr>
        <w:t xml:space="preserve">Cons:</w:t>
      </w:r>
      <w:r>
        <w:t xml:space="preserve"> </w:t>
      </w:r>
      <w:r>
        <w:t xml:space="preserve">Custodial, platform holds tokens on behalf of users</w:t>
      </w:r>
    </w:p>
    <w:bookmarkEnd w:id="34"/>
    <w:bookmarkStart w:id="35" w:name="option-c-hybrid-future"/>
    <w:p>
      <w:pPr>
        <w:pStyle w:val="Heading4"/>
      </w:pPr>
      <w:r>
        <w:t xml:space="preserve">Option C: Hybrid (Future)</w:t>
      </w:r>
    </w:p>
    <w:p>
      <w:pPr>
        <w:pStyle w:val="FirstParagraph"/>
      </w:pPr>
      <w:r>
        <w:t xml:space="preserve">Allow both: custodial by default, with option to claim to self-custody wallet.</w:t>
      </w:r>
    </w:p>
    <w:bookmarkEnd w:id="35"/>
    <w:bookmarkEnd w:id="36"/>
    <w:bookmarkStart w:id="37" w:name="batch-issuance"/>
    <w:p>
      <w:pPr>
        <w:pStyle w:val="Heading3"/>
      </w:pPr>
      <w:r>
        <w:t xml:space="preserve">5.3 Batch Issuance</w:t>
      </w:r>
    </w:p>
    <w:p>
      <w:pPr>
        <w:pStyle w:val="FirstParagraph"/>
      </w:pPr>
      <w:r>
        <w:t xml:space="preserve">For efficiency, batch multiple issuances into single transactions: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batchMintTokens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issuances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ShareIssuance[]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maxPerTransaction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TransactionSignature[]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TransactionSignature[]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Group issuances by ShareType (same mint)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(issuances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'shareTypeId'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[shareTypeId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typeIssuances]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(grouped))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getMintForShareType</w:t>
      </w:r>
      <w:r>
        <w:rPr>
          <w:rStyle w:val="NormalTok"/>
        </w:rPr>
        <w:t xml:space="preserve">(shareTypeId)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Batch into chunks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</w:t>
      </w:r>
      <w:r>
        <w:rPr>
          <w:rStyle w:val="NormalTok"/>
        </w:rPr>
        <w:t xml:space="preserve">(typeIssuances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maxPerTransaction))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issuance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batchChunk)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getOrCreateAta</w:t>
      </w:r>
      <w:r>
        <w:rPr>
          <w:rStyle w:val="NormalTok"/>
        </w:rPr>
        <w:t xml:space="preserve">(mint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createMintToInstruction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mint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platformAuthority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issuance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sendAndConfirmTransaction</w:t>
      </w:r>
      <w:r>
        <w:rPr>
          <w:rStyle w:val="NormalTok"/>
        </w:rPr>
        <w:t xml:space="preserve">(connection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[platformAuthority])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signatures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consistency-and-reconciliation"/>
    <w:p>
      <w:pPr>
        <w:pStyle w:val="Heading3"/>
      </w:pPr>
      <w:r>
        <w:t xml:space="preserve">5.4 Consistency and Reconciliation</w:t>
      </w:r>
    </w:p>
    <w:p>
      <w:pPr>
        <w:pStyle w:val="FirstParagraph"/>
      </w:pPr>
      <w:r>
        <w:t xml:space="preserve">Ensure database and blockchain stay in sync: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140"/>
        <w:gridCol w:w="2568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Blockchain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Consistent</w:t>
            </w:r>
          </w:p>
        </w:tc>
        <w:tc>
          <w:tcPr/>
          <w:p>
            <w:pPr>
              <w:pStyle w:val="Compact"/>
            </w:pPr>
            <w:r>
              <w:t xml:space="preserve">100 shares</w:t>
            </w:r>
          </w:p>
        </w:tc>
        <w:tc>
          <w:tcPr/>
          <w:p>
            <w:pPr>
              <w:pStyle w:val="Compact"/>
            </w:pPr>
            <w:r>
              <w:t xml:space="preserve">100 tokens</w:t>
            </w:r>
          </w:p>
        </w:tc>
        <w:tc>
          <w:tcPr/>
          <w:p>
            <w:pPr>
              <w:pStyle w:val="Compact"/>
            </w:pPr>
            <w:r>
              <w:t xml:space="preserve">No action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Ahead</w:t>
            </w:r>
          </w:p>
        </w:tc>
        <w:tc>
          <w:tcPr/>
          <w:p>
            <w:pPr>
              <w:pStyle w:val="Compact"/>
            </w:pPr>
            <w:r>
              <w:t xml:space="preserve">100 shares</w:t>
            </w:r>
          </w:p>
        </w:tc>
        <w:tc>
          <w:tcPr/>
          <w:p>
            <w:pPr>
              <w:pStyle w:val="Compact"/>
            </w:pPr>
            <w:r>
              <w:t xml:space="preserve">50 tokens</w:t>
            </w:r>
          </w:p>
        </w:tc>
        <w:tc>
          <w:tcPr/>
          <w:p>
            <w:pPr>
              <w:pStyle w:val="Compact"/>
            </w:pPr>
            <w:r>
              <w:t xml:space="preserve">Mint 50 more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 Ahead</w:t>
            </w:r>
          </w:p>
        </w:tc>
        <w:tc>
          <w:tcPr/>
          <w:p>
            <w:pPr>
              <w:pStyle w:val="Compact"/>
            </w:pPr>
            <w:r>
              <w:t xml:space="preserve">50 shares</w:t>
            </w:r>
          </w:p>
        </w:tc>
        <w:tc>
          <w:tcPr/>
          <w:p>
            <w:pPr>
              <w:pStyle w:val="Compact"/>
            </w:pPr>
            <w:r>
              <w:t xml:space="preserve">100 tokens</w:t>
            </w:r>
          </w:p>
        </w:tc>
        <w:tc>
          <w:tcPr/>
          <w:p>
            <w:pPr>
              <w:pStyle w:val="Compact"/>
            </w:pPr>
            <w:r>
              <w:t xml:space="preserve">Alert &amp; investigate (should not happen)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TX Failed</w:t>
            </w:r>
          </w:p>
        </w:tc>
        <w:tc>
          <w:tcPr/>
          <w:p>
            <w:pPr>
              <w:pStyle w:val="Compact"/>
            </w:pPr>
            <w:r>
              <w:t xml:space="preserve">100 shares (pending)</w:t>
            </w:r>
          </w:p>
        </w:tc>
        <w:tc>
          <w:tcPr/>
          <w:p>
            <w:pPr>
              <w:pStyle w:val="Compact"/>
            </w:pPr>
            <w:r>
              <w:t xml:space="preserve">0 tokens</w:t>
            </w:r>
          </w:p>
        </w:tc>
        <w:tc>
          <w:tcPr/>
          <w:p>
            <w:pPr>
              <w:pStyle w:val="Compact"/>
            </w:pPr>
            <w:r>
              <w:t xml:space="preserve">Retry mint or mark failed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Reconciliation process:</w:t>
      </w:r>
      <w:r>
        <w:t xml:space="preserve"> </w:t>
      </w:r>
      <w:r>
        <w:t xml:space="preserve">1. Run daily/hourly reconciliation job</w:t>
      </w:r>
      <w:r>
        <w:t xml:space="preserve"> </w:t>
      </w:r>
      <w:r>
        <w:t xml:space="preserve">2. Compare ShareBalance totals with on-chain token balances</w:t>
      </w:r>
      <w:r>
        <w:t xml:space="preserve"> </w:t>
      </w:r>
      <w:r>
        <w:t xml:space="preserve">3. For discrepancies where DB &gt; chain: queue catch-up mints</w:t>
      </w:r>
      <w:r>
        <w:t xml:space="preserve"> </w:t>
      </w:r>
      <w:r>
        <w:t xml:space="preserve">4. For discrepancies where chain &gt; DB: alert operators (data integrity issue)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maxsupply-enforcement"/>
    <w:p>
      <w:pPr>
        <w:pStyle w:val="Heading2"/>
      </w:pPr>
      <w:r>
        <w:t xml:space="preserve">6. MaxSupply Enforcement</w:t>
      </w:r>
    </w:p>
    <w:bookmarkStart w:id="40" w:name="enforcement-layers"/>
    <w:p>
      <w:pPr>
        <w:pStyle w:val="Heading3"/>
      </w:pPr>
      <w:r>
        <w:t xml:space="preserve">6.1 Enforcement Layers</w:t>
      </w:r>
    </w:p>
    <w:p>
      <w:pPr>
        <w:pStyle w:val="FirstParagraph"/>
      </w:pPr>
      <w:r>
        <w:t xml:space="preserve">MaxSupply can be enforced at multiple levels: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217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 (Database)</w:t>
            </w:r>
          </w:p>
        </w:tc>
        <w:tc>
          <w:tcPr/>
          <w:p>
            <w:pPr>
              <w:pStyle w:val="Compact"/>
            </w:pPr>
            <w:r>
              <w:t xml:space="preserve">Check before issuance</w:t>
            </w:r>
          </w:p>
        </w:tc>
        <w:tc>
          <w:tcPr/>
          <w:p>
            <w:pPr>
              <w:pStyle w:val="Compact"/>
            </w:pPr>
            <w:r>
              <w:t xml:space="preserve">Fast, flexible</w:t>
            </w:r>
          </w:p>
        </w:tc>
        <w:tc>
          <w:tcPr/>
          <w:p>
            <w:pPr>
              <w:pStyle w:val="Compact"/>
            </w:pPr>
            <w:r>
              <w:t xml:space="preserve">Not cryptographically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Contract</w:t>
            </w:r>
          </w:p>
        </w:tc>
        <w:tc>
          <w:tcPr/>
          <w:p>
            <w:pPr>
              <w:pStyle w:val="Compact"/>
            </w:pPr>
            <w:r>
              <w:t xml:space="preserve">On-chain validation</w:t>
            </w:r>
          </w:p>
        </w:tc>
        <w:tc>
          <w:tcPr/>
          <w:p>
            <w:pPr>
              <w:pStyle w:val="Compact"/>
            </w:pPr>
            <w:r>
              <w:t xml:space="preserve">Trustless, immutable</w:t>
            </w:r>
          </w:p>
        </w:tc>
        <w:tc>
          <w:tcPr/>
          <w:p>
            <w:pPr>
              <w:pStyle w:val="Compact"/>
            </w:pPr>
            <w:r>
              <w:t xml:space="preserve">Requires custom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 Token</w:t>
            </w:r>
          </w:p>
        </w:tc>
        <w:tc>
          <w:tcPr/>
          <w:p>
            <w:pPr>
              <w:pStyle w:val="Compact"/>
            </w:pPr>
            <w:r>
              <w:t xml:space="preserve">No native support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Must use custom program</w:t>
            </w:r>
          </w:p>
        </w:tc>
      </w:tr>
    </w:tbl>
    <w:bookmarkEnd w:id="40"/>
    <w:bookmarkStart w:id="41" w:name="X9f2a6838d958ec4ee5d609b79a6111ec494fdd6"/>
    <w:p>
      <w:pPr>
        <w:pStyle w:val="Heading3"/>
      </w:pPr>
      <w:r>
        <w:t xml:space="preserve">6.2 Recommended Approach: Application-Level + On-Chain Validation</w:t>
      </w:r>
    </w:p>
    <w:p>
      <w:pPr>
        <w:pStyle w:val="FirstParagraph"/>
      </w:pPr>
      <w:r>
        <w:rPr>
          <w:b/>
          <w:bCs/>
        </w:rPr>
        <w:t xml:space="preserve">Primary enforcement: Application layer (database)</w:t>
      </w:r>
    </w:p>
    <w:p>
      <w:pPr>
        <w:pStyle w:val="SourceCode"/>
      </w:pPr>
      <w:r>
        <w:rPr>
          <w:rStyle w:val="CommentTok"/>
        </w:rPr>
        <w:t xml:space="preserve">// In ShareIssuanceService.cs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ShareIssuance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IssueSharesAsync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CreateShareIssuanceRequest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shareType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ShareTypeId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MaxSupply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currentSupply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ShareBalances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ShareTypeId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ShareTypeId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currentSupply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shareType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MaxSupply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"Cannot issue {request.Quantity} shares.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"Would exceed MaxSupply of {shareType.MaxSupply.Value}.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"Current supply: {currentSupply}"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Proceed with issuance...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Secondary enforcement: On-chain validation (custom program)</w:t>
      </w:r>
    </w:p>
    <w:p>
      <w:pPr>
        <w:pStyle w:val="SourceCode"/>
      </w:pPr>
      <w:r>
        <w:rPr>
          <w:rStyle w:val="CommentTok"/>
        </w:rPr>
        <w:t xml:space="preserve">// In fan_governance program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mint_shares(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MintShares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share_type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share_type_pda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against on-chain max supply if set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(max_supply)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share_type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max_supply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current_supply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require!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current_supply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max_supply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GovernanceError::</w:t>
      </w:r>
      <w:r>
        <w:rPr>
          <w:rStyle w:val="NormalTok"/>
        </w:rPr>
        <w:t xml:space="preserve">MaxSupplyExceeded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Mint tokens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token::</w:t>
      </w:r>
      <w:r>
        <w:rPr>
          <w:rStyle w:val="NormalTok"/>
        </w:rPr>
        <w:t xml:space="preserve">mint_to(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CpiContext::</w:t>
      </w:r>
      <w:r>
        <w:rPr>
          <w:rStyle w:val="NormalTok"/>
        </w:rPr>
        <w:t xml:space="preserve">new(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token_program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to_account_info()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MintTo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to_account_info()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user_token_account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to_account_info()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authority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mint_authority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to_account_info()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maxsupply-storage"/>
    <w:p>
      <w:pPr>
        <w:pStyle w:val="Heading3"/>
      </w:pPr>
      <w:r>
        <w:t xml:space="preserve">6.3 MaxSupply Storage</w:t>
      </w:r>
    </w:p>
    <w:p>
      <w:pPr>
        <w:pStyle w:val="FirstParagraph"/>
      </w:pPr>
      <w:r>
        <w:t xml:space="preserve">Store MaxSupply both off-chain and on-chain:</w:t>
      </w:r>
    </w:p>
    <w:p>
      <w:pPr>
        <w:pStyle w:val="SourceCode"/>
      </w:pPr>
      <w:r>
        <w:rPr>
          <w:rStyle w:val="CommentTok"/>
        </w:rPr>
        <w:t xml:space="preserve">// ShareType PDA account structure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ShareTypeAccount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bump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organization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share_type_uuid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max_supply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On-chain MaxSupply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voting_weight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Basis points (10000 = 1.0)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is_transferable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metadata_uri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supply-tracking"/>
    <w:p>
      <w:pPr>
        <w:pStyle w:val="Heading3"/>
      </w:pPr>
      <w:r>
        <w:t xml:space="preserve">6.4 Supply Tracking</w:t>
      </w:r>
    </w:p>
    <w:p>
      <w:pPr>
        <w:pStyle w:val="FirstParagraph"/>
      </w:pPr>
      <w:r>
        <w:t xml:space="preserve">Track circulating supply vs. MaxSupply: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MaxSupply</w:t>
            </w:r>
          </w:p>
        </w:tc>
        <w:tc>
          <w:tcPr/>
          <w:p>
            <w:pPr>
              <w:pStyle w:val="Compact"/>
            </w:pPr>
            <w:r>
              <w:t xml:space="preserve">ShareType.MaxSupply</w:t>
            </w:r>
          </w:p>
        </w:tc>
        <w:tc>
          <w:tcPr/>
          <w:p>
            <w:pPr>
              <w:pStyle w:val="Compact"/>
            </w:pPr>
            <w:r>
              <w:t xml:space="preserve">Fixed at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TotalMinted</w:t>
            </w:r>
          </w:p>
        </w:tc>
        <w:tc>
          <w:tcPr/>
          <w:p>
            <w:pPr>
              <w:pStyle w:val="Compact"/>
            </w:pPr>
            <w:r>
              <w:t xml:space="preserve">Mint.supply (on-chain)</w:t>
            </w:r>
          </w:p>
        </w:tc>
        <w:tc>
          <w:tcPr/>
          <w:p>
            <w:pPr>
              <w:pStyle w:val="Compact"/>
            </w:pPr>
            <w:r>
              <w:t xml:space="preserve">Sum of all minted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CirculatingSupply</w:t>
            </w:r>
          </w:p>
        </w:tc>
        <w:tc>
          <w:tcPr/>
          <w:p>
            <w:pPr>
              <w:pStyle w:val="Compact"/>
            </w:pPr>
            <w:r>
              <w:t xml:space="preserve">Token accounts</w:t>
            </w:r>
          </w:p>
        </w:tc>
        <w:tc>
          <w:tcPr/>
          <w:p>
            <w:pPr>
              <w:pStyle w:val="Compact"/>
            </w:pPr>
            <w:r>
              <w:t xml:space="preserve">Sum of all non-burned balances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RemainingSupply</w:t>
            </w:r>
          </w:p>
        </w:tc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MaxSupply - TotalMinted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burn-mechanics-for-share-revocation"/>
    <w:p>
      <w:pPr>
        <w:pStyle w:val="Heading2"/>
      </w:pPr>
      <w:r>
        <w:t xml:space="preserve">7. Burn Mechanics for Share Revocation</w:t>
      </w:r>
    </w:p>
    <w:bookmarkStart w:id="45" w:name="use-cases-for-burning"/>
    <w:p>
      <w:pPr>
        <w:pStyle w:val="Heading3"/>
      </w:pPr>
      <w:r>
        <w:t xml:space="preserve">7.1 Use Cases for Burning</w:t>
      </w:r>
    </w:p>
    <w:p>
      <w:pPr>
        <w:pStyle w:val="FirstParagraph"/>
      </w:pPr>
      <w:r>
        <w:t xml:space="preserve">Shares may need to be revoked/burned in several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76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Burn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 termination</w:t>
            </w:r>
          </w:p>
        </w:tc>
        <w:tc>
          <w:tcPr/>
          <w:p>
            <w:pPr>
              <w:pStyle w:val="Compact"/>
            </w:pPr>
            <w:r>
              <w:t xml:space="preserve">User leaves organization</w:t>
            </w:r>
          </w:p>
        </w:tc>
        <w:tc>
          <w:tcPr/>
          <w:p>
            <w:pPr>
              <w:pStyle w:val="Compact"/>
            </w:pPr>
            <w:r>
              <w:t xml:space="preserve">Admin-initiated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action</w:t>
            </w:r>
          </w:p>
        </w:tc>
        <w:tc>
          <w:tcPr/>
          <w:p>
            <w:pPr>
              <w:pStyle w:val="Compact"/>
            </w:pPr>
            <w:r>
              <w:t xml:space="preserve">Regulatory requirement</w:t>
            </w:r>
          </w:p>
        </w:tc>
        <w:tc>
          <w:tcPr/>
          <w:p>
            <w:pPr>
              <w:pStyle w:val="Compact"/>
            </w:pPr>
            <w:r>
              <w:t xml:space="preserve">Admin-initiated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request</w:t>
            </w:r>
          </w:p>
        </w:tc>
        <w:tc>
          <w:tcPr/>
          <w:p>
            <w:pPr>
              <w:pStyle w:val="Compact"/>
            </w:pPr>
            <w:r>
              <w:t xml:space="preserve">User wants to exit</w:t>
            </w:r>
          </w:p>
        </w:tc>
        <w:tc>
          <w:tcPr/>
          <w:p>
            <w:pPr>
              <w:pStyle w:val="Compact"/>
            </w:pPr>
            <w:r>
              <w:t xml:space="preserve">User-initiated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Expired shares</w:t>
            </w:r>
          </w:p>
        </w:tc>
        <w:tc>
          <w:tcPr/>
          <w:p>
            <w:pPr>
              <w:pStyle w:val="Compact"/>
            </w:pPr>
            <w:r>
              <w:t xml:space="preserve">Time-limited membership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Correction</w:t>
            </w:r>
          </w:p>
        </w:tc>
        <w:tc>
          <w:tcPr/>
          <w:p>
            <w:pPr>
              <w:pStyle w:val="Compact"/>
            </w:pPr>
            <w:r>
              <w:t xml:space="preserve">Issuance error</w:t>
            </w:r>
          </w:p>
        </w:tc>
        <w:tc>
          <w:tcPr/>
          <w:p>
            <w:pPr>
              <w:pStyle w:val="Compact"/>
            </w:pPr>
            <w:r>
              <w:t xml:space="preserve">Admin-initiated</w:t>
            </w:r>
          </w:p>
        </w:tc>
      </w:tr>
    </w:tbl>
    <w:bookmarkEnd w:id="45"/>
    <w:bookmarkStart w:id="46" w:name="burn-workflow"/>
    <w:p>
      <w:pPr>
        <w:pStyle w:val="Heading3"/>
      </w:pPr>
      <w:r>
        <w:t xml:space="preserve">7.2 Burn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Share Revocation / Burn Workflow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1. Revocation Initiated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Trigger: Admin action, user request, or automatic expiry        │    │</w:t>
      </w:r>
      <w:r>
        <w:br/>
      </w:r>
      <w:r>
        <w:rPr>
          <w:rStyle w:val="VerbatimChar"/>
        </w:rPr>
        <w:t xml:space="preserve">│  │                                                                 │    │</w:t>
      </w:r>
      <w:r>
        <w:br/>
      </w:r>
      <w:r>
        <w:rPr>
          <w:rStyle w:val="VerbatimChar"/>
        </w:rPr>
        <w:t xml:space="preserve">│  │ API: POST /organizations/{orgId}/share-revocations              │    │</w:t>
      </w:r>
      <w:r>
        <w:br/>
      </w:r>
      <w:r>
        <w:rPr>
          <w:rStyle w:val="VerbatimChar"/>
        </w:rPr>
        <w:t xml:space="preserve">│  │ Request: { userId, shareTypeId, quantity, reason }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2. Validate Revocation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→ Check user has sufficient balance                             │    │</w:t>
      </w:r>
      <w:r>
        <w:br/>
      </w:r>
      <w:r>
        <w:rPr>
          <w:rStyle w:val="VerbatimChar"/>
        </w:rPr>
        <w:t xml:space="preserve">│  │ → Check requester has permission (OrgAdmin or user themselves)  │    │</w:t>
      </w:r>
      <w:r>
        <w:br/>
      </w:r>
      <w:r>
        <w:rPr>
          <w:rStyle w:val="VerbatimChar"/>
        </w:rPr>
        <w:t xml:space="preserve">│  │ → Check no active votes using these shares (optional constraint)│    │</w:t>
      </w:r>
      <w:r>
        <w:br/>
      </w:r>
      <w:r>
        <w:rPr>
          <w:rStyle w:val="VerbatimChar"/>
        </w:rPr>
        <w:t xml:space="preserve">│  │ → Create ShareRevocation record with status "Pending"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3. Update Database Balance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→ Decrement ShareBalance by quantity                            │    │</w:t>
      </w:r>
      <w:r>
        <w:br/>
      </w:r>
      <w:r>
        <w:rPr>
          <w:rStyle w:val="VerbatimChar"/>
        </w:rPr>
        <w:t xml:space="preserve">│  │ → Create negative ShareIssuance record (for audit trail)        │    │</w:t>
      </w:r>
      <w:r>
        <w:br/>
      </w:r>
      <w:r>
        <w:rPr>
          <w:rStyle w:val="VerbatimChar"/>
        </w:rPr>
        <w:t xml:space="preserve">│  │ → Enqueue "SharesRevoked" outbound event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4. Execute On-Chain Burn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Blockchain Sync Service: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│    │</w:t>
      </w:r>
      <w:r>
        <w:br/>
      </w:r>
      <w:r>
        <w:rPr>
          <w:rStyle w:val="VerbatimChar"/>
        </w:rPr>
        <w:t xml:space="preserve">│  │ Option A: Burn from user's ATA (requires user signature or PDA) │    │</w:t>
      </w:r>
      <w:r>
        <w:br/>
      </w:r>
      <w:r>
        <w:rPr>
          <w:rStyle w:val="VerbatimChar"/>
        </w:rPr>
        <w:t xml:space="preserve">│  │ → burn_checked instruction                                      │    │</w:t>
      </w:r>
      <w:r>
        <w:br/>
      </w:r>
      <w:r>
        <w:rPr>
          <w:rStyle w:val="VerbatimChar"/>
        </w:rPr>
        <w:t xml:space="preserve">│  │ → Requires: mint, account, owner/delegate, amount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│    │</w:t>
      </w:r>
      <w:r>
        <w:br/>
      </w:r>
      <w:r>
        <w:rPr>
          <w:rStyle w:val="VerbatimChar"/>
        </w:rPr>
        <w:t xml:space="preserve">│  │ Option B: Transfer to burn address, then burn (platform-owned)  │    │</w:t>
      </w:r>
      <w:r>
        <w:br/>
      </w:r>
      <w:r>
        <w:rPr>
          <w:rStyle w:val="VerbatimChar"/>
        </w:rPr>
        <w:t xml:space="preserve">│  │ → transfer instruction to platform-controlled burn ATA          │    │</w:t>
      </w:r>
      <w:r>
        <w:br/>
      </w:r>
      <w:r>
        <w:rPr>
          <w:rStyle w:val="VerbatimChar"/>
        </w:rPr>
        <w:t xml:space="preserve">│  │ → burn instruction from burn ATA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│</w:t>
      </w:r>
      <w:r>
        <w:br/>
      </w:r>
      <w:r>
        <w:rPr>
          <w:rStyle w:val="VerbatimChar"/>
        </w:rPr>
        <w:t xml:space="preserve">│  5. Confirm and Record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→ Wait for transaction confirmation                             │    │</w:t>
      </w:r>
      <w:r>
        <w:br/>
      </w:r>
      <w:r>
        <w:rPr>
          <w:rStyle w:val="VerbatimChar"/>
        </w:rPr>
        <w:t xml:space="preserve">│  │ → Update ShareRevocation status to "Completed"                  │    │</w:t>
      </w:r>
      <w:r>
        <w:br/>
      </w:r>
      <w:r>
        <w:rPr>
          <w:rStyle w:val="VerbatimChar"/>
        </w:rPr>
        <w:t xml:space="preserve">│  │ → Store burn transaction signature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burn-authority-options"/>
    <w:p>
      <w:pPr>
        <w:pStyle w:val="Heading3"/>
      </w:pPr>
      <w:r>
        <w:t xml:space="preserve">7.3 Burn Authority Options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996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Who Can Burn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Owner-only</w:t>
            </w:r>
          </w:p>
        </w:tc>
        <w:tc>
          <w:tcPr/>
          <w:p>
            <w:pPr>
              <w:pStyle w:val="Compact"/>
            </w:pPr>
            <w:r>
              <w:t xml:space="preserve">Token holder</w:t>
            </w:r>
          </w:p>
        </w:tc>
        <w:tc>
          <w:tcPr/>
          <w:p>
            <w:pPr>
              <w:pStyle w:val="Compact"/>
            </w:pPr>
            <w:r>
              <w:t xml:space="preserve">Standard SPL Token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Delegate burn</w:t>
            </w:r>
          </w:p>
        </w:tc>
        <w:tc>
          <w:tcPr/>
          <w:p>
            <w:pPr>
              <w:pStyle w:val="Compact"/>
            </w:pPr>
            <w:r>
              <w:t xml:space="preserve">Approved delegate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Burn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authority</w:t>
            </w:r>
          </w:p>
        </w:tc>
        <w:tc>
          <w:tcPr/>
          <w:p>
            <w:pPr>
              <w:pStyle w:val="Compact"/>
            </w:pPr>
            <w:r>
              <w:t xml:space="preserve">Platform (custodial)</w:t>
            </w:r>
          </w:p>
        </w:tc>
        <w:tc>
          <w:tcPr/>
          <w:p>
            <w:pPr>
              <w:pStyle w:val="Compact"/>
            </w:pPr>
            <w:r>
              <w:t xml:space="preserve">Platform holds tokens in PDAs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 Delegate</w:t>
            </w:r>
            <w:r>
              <w:t xml:space="preserve"> </w:t>
            </w:r>
            <w:r>
              <w:t xml:space="preserve">(Token-2022)</w:t>
            </w:r>
          </w:p>
        </w:tc>
        <w:tc>
          <w:tcPr/>
          <w:p>
            <w:pPr>
              <w:pStyle w:val="Compact"/>
            </w:pPr>
            <w:r>
              <w:t xml:space="preserve">Platform always</w:t>
            </w:r>
          </w:p>
        </w:tc>
        <w:tc>
          <w:tcPr/>
          <w:p>
            <w:pPr>
              <w:pStyle w:val="Compact"/>
            </w:pPr>
            <w:r>
              <w:t xml:space="preserve">Token-2022 extension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Recommendation:</w:t>
      </w:r>
      <w:r>
        <w:t xml:space="preserve"> </w:t>
      </w:r>
      <w:r>
        <w:t xml:space="preserve">Use Permanent Delegate extension (Token-2022) for governance tokens. This allows the platform to burn tokens when shares are revoked, without requiring user action.</w:t>
      </w:r>
    </w:p>
    <w:bookmarkEnd w:id="47"/>
    <w:bookmarkStart w:id="48" w:name="burn-vs.-transfer-to-dead-address"/>
    <w:p>
      <w:pPr>
        <w:pStyle w:val="Heading3"/>
      </w:pPr>
      <w:r>
        <w:t xml:space="preserve">7.4 Burn vs. Transfer to Dead Address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12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</w:t>
            </w:r>
          </w:p>
        </w:tc>
        <w:tc>
          <w:tcPr/>
          <w:p>
            <w:pPr>
              <w:pStyle w:val="Compact"/>
            </w:pPr>
            <w:r>
              <w:t xml:space="preserve">Reduces total supply</w:t>
            </w:r>
          </w:p>
        </w:tc>
        <w:tc>
          <w:tcPr/>
          <w:p>
            <w:pPr>
              <w:pStyle w:val="Compact"/>
            </w:pPr>
            <w:r>
              <w:t xml:space="preserve">Clean, reduces circulating supply</w:t>
            </w:r>
          </w:p>
        </w:tc>
        <w:tc>
          <w:tcPr/>
          <w:p>
            <w:pPr>
              <w:pStyle w:val="Compact"/>
            </w:pPr>
            <w:r>
              <w:t xml:space="preserve">Requires burn 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 to dead address</w:t>
            </w:r>
          </w:p>
        </w:tc>
        <w:tc>
          <w:tcPr/>
          <w:p>
            <w:pPr>
              <w:pStyle w:val="Compact"/>
            </w:pPr>
            <w:r>
              <w:t xml:space="preserve">Tokens inaccessible</w:t>
            </w:r>
          </w:p>
        </w:tc>
        <w:tc>
          <w:tcPr/>
          <w:p>
            <w:pPr>
              <w:pStyle w:val="Compact"/>
            </w:pPr>
            <w:r>
              <w:t xml:space="preserve">Simple, no special authority</w:t>
            </w:r>
          </w:p>
        </w:tc>
        <w:tc>
          <w:tcPr/>
          <w:p>
            <w:pPr>
              <w:pStyle w:val="Compact"/>
            </w:pPr>
            <w:r>
              <w:t xml:space="preserve">Supply appears unchanged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proper burn to accurately reflect circulating supply.</w:t>
      </w:r>
    </w:p>
    <w:bookmarkEnd w:id="48"/>
    <w:bookmarkStart w:id="49" w:name="permanent-delegate-for-governance-tokens"/>
    <w:p>
      <w:pPr>
        <w:pStyle w:val="Heading3"/>
      </w:pPr>
      <w:r>
        <w:t xml:space="preserve">7.5 Permanent Delegate for Governance Tokens</w:t>
      </w:r>
    </w:p>
    <w:p>
      <w:pPr>
        <w:pStyle w:val="FirstParagraph"/>
      </w:pPr>
      <w:r>
        <w:t xml:space="preserve">Token-2022’s Permanent Delegate extension is ideal for governance tokens:</w:t>
      </w:r>
    </w:p>
    <w:p>
      <w:pPr>
        <w:pStyle w:val="SourceCode"/>
      </w:pPr>
      <w:r>
        <w:rPr>
          <w:rStyle w:val="CommentTok"/>
        </w:rPr>
        <w:t xml:space="preserve">// Initialize mint with Permanent Delegate extension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extension_type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ExtensionType::</w:t>
      </w:r>
      <w:r>
        <w:rPr>
          <w:rStyle w:val="NormalTok"/>
        </w:rPr>
        <w:t xml:space="preserve">PermanentDelegate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extension_data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PermanentDelegateConfig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delegate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platform_authority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key()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Platform can always burn tokens from any account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revoke_shares(ctx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RevokeShares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Platform has permanent delegate authority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token_2022::</w:t>
      </w:r>
      <w:r>
        <w:rPr>
          <w:rStyle w:val="NormalTok"/>
        </w:rPr>
        <w:t xml:space="preserve">burn(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CpiContext::</w:t>
      </w:r>
      <w:r>
        <w:rPr>
          <w:rStyle w:val="NormalTok"/>
        </w:rPr>
        <w:t xml:space="preserve">new(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token_program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to_account_info()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Burn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to_account_info()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user_token_account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to_account_info()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authority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platform_authority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to_account_info()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token-program-selection"/>
    <w:p>
      <w:pPr>
        <w:pStyle w:val="Heading2"/>
      </w:pPr>
      <w:r>
        <w:t xml:space="preserve">8. Token Program Selection</w:t>
      </w:r>
    </w:p>
    <w:bookmarkStart w:id="51" w:name="spl-token-vs-token-2022-decision-matrix"/>
    <w:p>
      <w:pPr>
        <w:pStyle w:val="Heading3"/>
      </w:pPr>
      <w:r>
        <w:t xml:space="preserve">8.1 SPL Token vs Token-2022 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2726"/>
        <w:gridCol w:w="1558"/>
        <w:gridCol w:w="2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SPL Token (Original)</w:t>
            </w:r>
          </w:p>
        </w:tc>
        <w:tc>
          <w:tcPr/>
          <w:p>
            <w:pPr>
              <w:pStyle w:val="Compact"/>
            </w:pPr>
            <w:r>
              <w:t xml:space="preserve">Token-2022</w:t>
            </w:r>
          </w:p>
        </w:tc>
        <w:tc>
          <w:tcPr/>
          <w:p>
            <w:pPr>
              <w:pStyle w:val="Compact"/>
            </w:pPr>
            <w:r>
              <w:t xml:space="preserve">FanEngagement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Ecosystem Support</w:t>
            </w:r>
          </w:p>
        </w:tc>
        <w:tc>
          <w:tcPr/>
          <w:p>
            <w:pPr>
              <w:pStyle w:val="Compact"/>
            </w:pPr>
            <w:r>
              <w:t xml:space="preserve">Excellent (all wallets/DEXs)</w:t>
            </w:r>
          </w:p>
        </w:tc>
        <w:tc>
          <w:tcPr/>
          <w:p>
            <w:pPr>
              <w:pStyle w:val="Compact"/>
            </w:pPr>
            <w:r>
              <w:t xml:space="preserve">Growing (major wallets)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Non-Transferable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✅ Native extension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for some share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 Delegate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✅ Native extension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  <w:r>
              <w:t xml:space="preserve"> </w:t>
            </w:r>
            <w:r>
              <w:t xml:space="preserve">for revocation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Metadata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✅ MetadataPointer</w:t>
            </w:r>
          </w:p>
        </w:tc>
        <w:tc>
          <w:tcPr/>
          <w:p>
            <w:pPr>
              <w:pStyle w:val="Compact"/>
            </w:pPr>
            <w:r>
              <w:t xml:space="preserve">Nice to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 Hooks</w:t>
            </w:r>
          </w:p>
        </w:tc>
        <w:tc>
          <w:tcPr/>
          <w:p>
            <w:pPr>
              <w:pStyle w:val="Compac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</w:pPr>
            <w:r>
              <w:t xml:space="preserve">✅ Custom validation</w:t>
            </w:r>
          </w:p>
        </w:tc>
        <w:tc>
          <w:tcPr/>
          <w:p>
            <w:pPr>
              <w:pStyle w:val="Compact"/>
            </w:pPr>
            <w:r>
              <w:t xml:space="preserve">Future: compliance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 Cost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Slightly higher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</w:tbl>
    <w:bookmarkEnd w:id="51"/>
    <w:bookmarkStart w:id="52" w:name="Xdc38bb61b801a82ee3f5649dc294709cf1d8a30"/>
    <w:p>
      <w:pPr>
        <w:pStyle w:val="Heading3"/>
      </w:pPr>
      <w:r>
        <w:t xml:space="preserve">8.2 Recommendation by ShareType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5"/>
        <w:gridCol w:w="2241"/>
        <w:gridCol w:w="17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ShareType.IsTransferable</w:t>
            </w:r>
          </w:p>
        </w:tc>
        <w:tc>
          <w:tcPr/>
          <w:p>
            <w:pPr>
              <w:pStyle w:val="Compact"/>
            </w:pPr>
            <w:r>
              <w:t xml:space="preserve">Token Program</w:t>
            </w:r>
          </w:p>
        </w:tc>
        <w:tc>
          <w:tcPr/>
          <w:p>
            <w:pPr>
              <w:pStyle w:val="Compact"/>
            </w:pPr>
            <w:r>
              <w:t xml:space="preserve">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(tradeable)</w:t>
            </w:r>
          </w:p>
        </w:tc>
        <w:tc>
          <w:tcPr/>
          <w:p>
            <w:pPr>
              <w:pStyle w:val="Compact"/>
            </w:pPr>
            <w:r>
              <w:t xml:space="preserve">SPL Token (original)</w:t>
            </w:r>
          </w:p>
        </w:tc>
        <w:tc>
          <w:tcPr/>
          <w:p>
            <w:pPr>
              <w:pStyle w:val="Compact"/>
            </w:pPr>
            <w:r>
              <w:t xml:space="preserve">None - maximize compatibility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(non-transferable)</w:t>
            </w:r>
          </w:p>
        </w:tc>
        <w:tc>
          <w:tcPr/>
          <w:p>
            <w:pPr>
              <w:pStyle w:val="Compact"/>
            </w:pPr>
            <w:r>
              <w:t xml:space="preserve">Token-2022</w:t>
            </w:r>
          </w:p>
        </w:tc>
        <w:tc>
          <w:tcPr/>
          <w:p>
            <w:pPr>
              <w:pStyle w:val="Compact"/>
            </w:pPr>
            <w:r>
              <w:t xml:space="preserve">Non-Transferable, Permanent Delegate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Tradeable shares benefit from maximum ecosystem compatibility (DEXs, wallets)</w:t>
      </w:r>
      <w:r>
        <w:t xml:space="preserve"> </w:t>
      </w:r>
      <w:r>
        <w:t xml:space="preserve">- Non-transferable shares require Token-2022’s soulbound feature</w:t>
      </w:r>
      <w:r>
        <w:t xml:space="preserve"> </w:t>
      </w:r>
      <w:r>
        <w:t xml:space="preserve">- Permanent Delegate enables platform-controlled revocation for all governance tokens</w:t>
      </w:r>
    </w:p>
    <w:bookmarkEnd w:id="52"/>
    <w:bookmarkStart w:id="53" w:name="migration-considerations"/>
    <w:p>
      <w:pPr>
        <w:pStyle w:val="Heading3"/>
      </w:pPr>
      <w:r>
        <w:t xml:space="preserve">8.3 Migration Considerations</w:t>
      </w:r>
    </w:p>
    <w:p>
      <w:pPr>
        <w:pStyle w:val="FirstParagraph"/>
      </w:pPr>
      <w:r>
        <w:t xml:space="preserve">If a ShareType’s</w:t>
      </w:r>
      <w:r>
        <w:t xml:space="preserve"> </w:t>
      </w:r>
      <w:r>
        <w:rPr>
          <w:rStyle w:val="VerbatimChar"/>
        </w:rPr>
        <w:t xml:space="preserve">IsTransferable</w:t>
      </w:r>
      <w:r>
        <w:t xml:space="preserve"> </w:t>
      </w:r>
      <w:r>
        <w:t xml:space="preserve">flag changes: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363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Required Action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Create new Token-2022 mint, migrate balances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Cannot easily remove Non-Transferable extension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Treat</w:t>
      </w:r>
      <w:r>
        <w:t xml:space="preserve"> </w:t>
      </w:r>
      <w:r>
        <w:rPr>
          <w:rStyle w:val="VerbatimChar"/>
        </w:rPr>
        <w:t xml:space="preserve">IsTransferable</w:t>
      </w:r>
      <w:r>
        <w:t xml:space="preserve"> </w:t>
      </w:r>
      <w:r>
        <w:t xml:space="preserve">as immutable after token mint creation. If change is needed, create a new ShareType and migrate balances through issuance/revocation.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implementation-phases"/>
    <w:p>
      <w:pPr>
        <w:pStyle w:val="Heading2"/>
      </w:pPr>
      <w:r>
        <w:t xml:space="preserve">9. Implementation Phases</w:t>
      </w:r>
    </w:p>
    <w:bookmarkStart w:id="55" w:name="phase-1-foundation-mvp"/>
    <w:p>
      <w:pPr>
        <w:pStyle w:val="Heading3"/>
      </w:pPr>
      <w:r>
        <w:t xml:space="preserve">9.1 Phase 1: Foundation (MVP)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4-6 weeks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mint creation</w:t>
            </w:r>
          </w:p>
        </w:tc>
        <w:tc>
          <w:tcPr/>
          <w:p>
            <w:pPr>
              <w:pStyle w:val="Compact"/>
            </w:pPr>
            <w:r>
              <w:t xml:space="preserve">Create SPL Token mint per ShareType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Metaplex metadata</w:t>
            </w:r>
          </w:p>
        </w:tc>
        <w:tc>
          <w:tcPr/>
          <w:p>
            <w:pPr>
              <w:pStyle w:val="Compact"/>
            </w:pPr>
            <w:r>
              <w:t xml:space="preserve">Store name, symbol, attributes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authority</w:t>
            </w:r>
          </w:p>
        </w:tc>
        <w:tc>
          <w:tcPr/>
          <w:p>
            <w:pPr>
              <w:pStyle w:val="Compact"/>
            </w:pPr>
            <w:r>
              <w:t xml:space="preserve">Single keypair in secure vault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sync service</w:t>
            </w:r>
          </w:p>
        </w:tc>
        <w:tc>
          <w:tcPr/>
          <w:p>
            <w:pPr>
              <w:pStyle w:val="Compact"/>
            </w:pPr>
            <w:r>
              <w:t xml:space="preserve">Mint creation on ShareType create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fields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MintAddress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SyncStatus</w:t>
            </w:r>
            <w:r>
              <w:t xml:space="preserve"> </w:t>
            </w:r>
            <w:r>
              <w:t xml:space="preserve">to ShareType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 for Phase 1:</w:t>
      </w:r>
      <w:r>
        <w:t xml:space="preserve"> </w:t>
      </w:r>
      <w:r>
        <w:t xml:space="preserve">- User wallet linking</w:t>
      </w:r>
      <w:r>
        <w:t xml:space="preserve"> </w:t>
      </w:r>
      <w:r>
        <w:t xml:space="preserve">- On-chain token issuance</w:t>
      </w:r>
      <w:r>
        <w:t xml:space="preserve"> </w:t>
      </w:r>
      <w:r>
        <w:t xml:space="preserve">- Burn mechanics</w:t>
      </w:r>
      <w:r>
        <w:t xml:space="preserve"> </w:t>
      </w:r>
      <w:r>
        <w:t xml:space="preserve">- Token-2022 extensions</w:t>
      </w:r>
    </w:p>
    <w:bookmarkEnd w:id="55"/>
    <w:bookmarkStart w:id="56" w:name="phase-2-token-issuance"/>
    <w:p>
      <w:pPr>
        <w:pStyle w:val="Heading3"/>
      </w:pPr>
      <w:r>
        <w:t xml:space="preserve">9.2 Phase 2: Token Issuance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4-6 weeks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Custodial wallets</w:t>
            </w:r>
          </w:p>
        </w:tc>
        <w:tc>
          <w:tcPr/>
          <w:p>
            <w:pPr>
              <w:pStyle w:val="Compact"/>
            </w:pPr>
            <w:r>
              <w:t xml:space="preserve">PDA-based user wallets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minting</w:t>
            </w:r>
          </w:p>
        </w:tc>
        <w:tc>
          <w:tcPr/>
          <w:p>
            <w:pPr>
              <w:pStyle w:val="Compact"/>
            </w:pPr>
            <w:r>
              <w:t xml:space="preserve">Mint tokens on ShareIssuance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 management</w:t>
            </w:r>
          </w:p>
        </w:tc>
        <w:tc>
          <w:tcPr/>
          <w:p>
            <w:pPr>
              <w:pStyle w:val="Compact"/>
            </w:pPr>
            <w:r>
              <w:t xml:space="preserve">Create ATAs for users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minting</w:t>
            </w:r>
          </w:p>
        </w:tc>
        <w:tc>
          <w:tcPr/>
          <w:p>
            <w:pPr>
              <w:pStyle w:val="Compact"/>
            </w:pPr>
            <w:r>
              <w:t xml:space="preserve">Batch multiple issuances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Daily balance sync check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56"/>
    <w:bookmarkStart w:id="57" w:name="phase-3-token-2022-revocation"/>
    <w:p>
      <w:pPr>
        <w:pStyle w:val="Heading3"/>
      </w:pPr>
      <w:r>
        <w:t xml:space="preserve">9.3 Phase 3: Token-2022 &amp; Revocation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3-4 weeks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Token-2022 mints</w:t>
            </w:r>
          </w:p>
        </w:tc>
        <w:tc>
          <w:tcPr/>
          <w:p>
            <w:pPr>
              <w:pStyle w:val="Compact"/>
            </w:pPr>
            <w:r>
              <w:t xml:space="preserve">For non-transferable shares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Non-Transferable extension</w:t>
            </w:r>
          </w:p>
        </w:tc>
        <w:tc>
          <w:tcPr/>
          <w:p>
            <w:pPr>
              <w:pStyle w:val="Compact"/>
            </w:pPr>
            <w:r>
              <w:t xml:space="preserve">Protocol-level transfer block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Permanent Delegate</w:t>
            </w:r>
          </w:p>
        </w:tc>
        <w:tc>
          <w:tcPr/>
          <w:p>
            <w:pPr>
              <w:pStyle w:val="Compact"/>
            </w:pPr>
            <w:r>
              <w:t xml:space="preserve">Platform burn authority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 mechanics</w:t>
            </w:r>
          </w:p>
        </w:tc>
        <w:tc>
          <w:tcPr/>
          <w:p>
            <w:pPr>
              <w:pStyle w:val="Compact"/>
            </w:pPr>
            <w:r>
              <w:t xml:space="preserve">Revoke shares on-chain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MaxSupply on-chain</w:t>
            </w:r>
          </w:p>
        </w:tc>
        <w:tc>
          <w:tcPr/>
          <w:p>
            <w:pPr>
              <w:pStyle w:val="Compact"/>
            </w:pPr>
            <w:r>
              <w:t xml:space="preserve">Validate supply in program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57"/>
    <w:bookmarkStart w:id="58" w:name="phase-4-decentralization-future"/>
    <w:p>
      <w:pPr>
        <w:pStyle w:val="Heading3"/>
      </w:pPr>
      <w:r>
        <w:t xml:space="preserve">9.4 Phase 4: Decentralization (Future)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6-8 weeks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wallet linking</w:t>
            </w:r>
          </w:p>
        </w:tc>
        <w:tc>
          <w:tcPr/>
          <w:p>
            <w:pPr>
              <w:pStyle w:val="Compact"/>
            </w:pPr>
            <w:r>
              <w:t xml:space="preserve">Connect Phantom/Solflare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Self-custody option</w:t>
            </w:r>
          </w:p>
        </w:tc>
        <w:tc>
          <w:tcPr/>
          <w:p>
            <w:pPr>
              <w:pStyle w:val="Compact"/>
            </w:pPr>
            <w:r>
              <w:t xml:space="preserve">Claim tokens to own wallet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Multisig authority</w:t>
            </w:r>
          </w:p>
        </w:tc>
        <w:tc>
          <w:tcPr/>
          <w:p>
            <w:pPr>
              <w:pStyle w:val="Compact"/>
            </w:pPr>
            <w:r>
              <w:t xml:space="preserve">Per-org multisig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hooks</w:t>
            </w:r>
          </w:p>
        </w:tc>
        <w:tc>
          <w:tcPr/>
          <w:p>
            <w:pPr>
              <w:pStyle w:val="Compact"/>
            </w:pPr>
            <w:r>
              <w:t xml:space="preserve">Custom transfer validation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security-considerations"/>
    <w:p>
      <w:pPr>
        <w:pStyle w:val="Heading2"/>
      </w:pPr>
      <w:r>
        <w:t xml:space="preserve">10. Security Considerations</w:t>
      </w:r>
    </w:p>
    <w:bookmarkStart w:id="60" w:name="key-management"/>
    <w:p>
      <w:pPr>
        <w:pStyle w:val="Heading3"/>
      </w:pPr>
      <w:r>
        <w:t xml:space="preserve">10.1 Key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key theft</w:t>
            </w:r>
          </w:p>
        </w:tc>
        <w:tc>
          <w:tcPr/>
          <w:p>
            <w:pPr>
              <w:pStyle w:val="Compact"/>
            </w:pPr>
            <w:r>
              <w:t xml:space="preserve">Store in HSM/KMS (AWS, Azure, HashiCorp Vault)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loss</w:t>
            </w:r>
          </w:p>
        </w:tc>
        <w:tc>
          <w:tcPr/>
          <w:p>
            <w:pPr>
              <w:pStyle w:val="Compact"/>
            </w:pPr>
            <w:r>
              <w:t xml:space="preserve">Backup procedures, multi-party key ceremony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minting</w:t>
            </w:r>
          </w:p>
        </w:tc>
        <w:tc>
          <w:tcPr/>
          <w:p>
            <w:pPr>
              <w:pStyle w:val="Compact"/>
            </w:pPr>
            <w:r>
              <w:t xml:space="preserve">Rate limiting, audit logging, alerting</w:t>
            </w:r>
          </w:p>
        </w:tc>
      </w:tr>
    </w:tbl>
    <w:bookmarkEnd w:id="60"/>
    <w:bookmarkStart w:id="61" w:name="smart-contract-security"/>
    <w:p>
      <w:pPr>
        <w:pStyle w:val="Heading3"/>
      </w:pPr>
      <w:r>
        <w:t xml:space="preserve">10.2 Smart Contract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 vulnerabilities</w:t>
            </w:r>
          </w:p>
        </w:tc>
        <w:tc>
          <w:tcPr/>
          <w:p>
            <w:pPr>
              <w:pStyle w:val="Compact"/>
            </w:pPr>
            <w:r>
              <w:t xml:space="preserve">Security audit before mainnet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Upgrade risks</w:t>
            </w:r>
          </w:p>
        </w:tc>
        <w:tc>
          <w:tcPr/>
          <w:p>
            <w:pPr>
              <w:pStyle w:val="Compact"/>
            </w:pPr>
            <w:r>
              <w:t xml:space="preserve">Use upgradeable program pattern with timelock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 bypass</w:t>
            </w:r>
          </w:p>
        </w:tc>
        <w:tc>
          <w:tcPr/>
          <w:p>
            <w:pPr>
              <w:pStyle w:val="Compact"/>
            </w:pPr>
            <w:r>
              <w:t xml:space="preserve">Validate all signers in program</w:t>
            </w:r>
          </w:p>
        </w:tc>
      </w:tr>
    </w:tbl>
    <w:bookmarkEnd w:id="61"/>
    <w:bookmarkStart w:id="62" w:name="data-integrity"/>
    <w:p>
      <w:pPr>
        <w:pStyle w:val="Heading3"/>
      </w:pPr>
      <w:r>
        <w:t xml:space="preserve">10.3 Data Integrity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DB/chain desync</w:t>
            </w:r>
          </w:p>
        </w:tc>
        <w:tc>
          <w:tcPr/>
          <w:p>
            <w:pPr>
              <w:pStyle w:val="Compact"/>
            </w:pPr>
            <w:r>
              <w:t xml:space="preserve">Automated reconciliation,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minting</w:t>
            </w:r>
          </w:p>
        </w:tc>
        <w:tc>
          <w:tcPr/>
          <w:p>
            <w:pPr>
              <w:pStyle w:val="Compact"/>
            </w:pPr>
            <w:r>
              <w:t xml:space="preserve">Idempotent operations, unique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manipulation</w:t>
            </w:r>
          </w:p>
        </w:tc>
        <w:tc>
          <w:tcPr/>
          <w:p>
            <w:pPr>
              <w:pStyle w:val="Compact"/>
            </w:pPr>
            <w:r>
              <w:t xml:space="preserve">On-chain MaxSupply validation</w:t>
            </w:r>
          </w:p>
        </w:tc>
      </w:tr>
    </w:tbl>
    <w:bookmarkEnd w:id="62"/>
    <w:bookmarkStart w:id="63" w:name="operational-security"/>
    <w:p>
      <w:pPr>
        <w:pStyle w:val="Heading3"/>
      </w:pPr>
      <w:r>
        <w:t xml:space="preserve">10.4 Operational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compromise</w:t>
            </w:r>
          </w:p>
        </w:tc>
        <w:tc>
          <w:tcPr/>
          <w:p>
            <w:pPr>
              <w:pStyle w:val="Compact"/>
            </w:pPr>
            <w:r>
              <w:t xml:space="preserve">Least privilege access, network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failures</w:t>
            </w:r>
          </w:p>
        </w:tc>
        <w:tc>
          <w:tcPr/>
          <w:p>
            <w:pPr>
              <w:pStyle w:val="Compact"/>
            </w:pPr>
            <w:r>
              <w:t xml:space="preserve">Retry logic, dead letter queue for failed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attacks</w:t>
            </w:r>
          </w:p>
        </w:tc>
        <w:tc>
          <w:tcPr/>
          <w:p>
            <w:pPr>
              <w:pStyle w:val="Compact"/>
            </w:pPr>
            <w:r>
              <w:t xml:space="preserve">Use reputable RPC providers, failover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80" w:name="references"/>
    <w:p>
      <w:pPr>
        <w:pStyle w:val="Heading2"/>
      </w:pPr>
      <w:r>
        <w:t xml:space="preserve">11. References</w:t>
      </w:r>
    </w:p>
    <w:bookmarkStart w:id="68" w:name="solana-documentation"/>
    <w:p>
      <w:pPr>
        <w:pStyle w:val="Heading3"/>
      </w:pPr>
      <w:r>
        <w:t xml:space="preserve">Solana Documentation</w:t>
      </w:r>
    </w:p>
    <w:p>
      <w:pPr>
        <w:pStyle w:val="Compact"/>
        <w:numPr>
          <w:ilvl w:val="0"/>
          <w:numId w:val="1003"/>
        </w:numPr>
      </w:pPr>
      <w:hyperlink r:id="rId65">
        <w:r>
          <w:rPr>
            <w:rStyle w:val="Hyperlink"/>
          </w:rPr>
          <w:t xml:space="preserve">SPL Token Program</w:t>
        </w:r>
      </w:hyperlink>
    </w:p>
    <w:p>
      <w:pPr>
        <w:pStyle w:val="Compact"/>
        <w:numPr>
          <w:ilvl w:val="0"/>
          <w:numId w:val="1003"/>
        </w:numPr>
      </w:pPr>
      <w:hyperlink r:id="rId66">
        <w:r>
          <w:rPr>
            <w:rStyle w:val="Hyperlink"/>
          </w:rPr>
          <w:t xml:space="preserve">Token-2022 (Token Extensions)</w:t>
        </w:r>
      </w:hyperlink>
    </w:p>
    <w:p>
      <w:pPr>
        <w:pStyle w:val="Compact"/>
        <w:numPr>
          <w:ilvl w:val="0"/>
          <w:numId w:val="1003"/>
        </w:numPr>
      </w:pPr>
      <w:hyperlink r:id="rId67">
        <w:r>
          <w:rPr>
            <w:rStyle w:val="Hyperlink"/>
          </w:rPr>
          <w:t xml:space="preserve">Associated Token Account</w:t>
        </w:r>
      </w:hyperlink>
    </w:p>
    <w:bookmarkEnd w:id="68"/>
    <w:bookmarkStart w:id="71" w:name="metaplex"/>
    <w:p>
      <w:pPr>
        <w:pStyle w:val="Heading3"/>
      </w:pPr>
      <w:r>
        <w:t xml:space="preserve">Metaplex</w:t>
      </w:r>
    </w:p>
    <w:p>
      <w:pPr>
        <w:pStyle w:val="Compact"/>
        <w:numPr>
          <w:ilvl w:val="0"/>
          <w:numId w:val="1004"/>
        </w:numPr>
      </w:pPr>
      <w:hyperlink r:id="rId69">
        <w:r>
          <w:rPr>
            <w:rStyle w:val="Hyperlink"/>
          </w:rPr>
          <w:t xml:space="preserve">Token Metadata Standard</w:t>
        </w:r>
      </w:hyperlink>
    </w:p>
    <w:p>
      <w:pPr>
        <w:pStyle w:val="Compact"/>
        <w:numPr>
          <w:ilvl w:val="0"/>
          <w:numId w:val="1004"/>
        </w:numPr>
      </w:pPr>
      <w:hyperlink r:id="rId70">
        <w:r>
          <w:rPr>
            <w:rStyle w:val="Hyperlink"/>
          </w:rPr>
          <w:t xml:space="preserve">Fungible Token Standard</w:t>
        </w:r>
      </w:hyperlink>
    </w:p>
    <w:bookmarkEnd w:id="71"/>
    <w:bookmarkStart w:id="75" w:name="token-2022-extensions"/>
    <w:p>
      <w:pPr>
        <w:pStyle w:val="Heading3"/>
      </w:pPr>
      <w:r>
        <w:t xml:space="preserve">Token-2022 Extensions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Non-Transferable Tokens</w:t>
        </w:r>
      </w:hyperlink>
    </w:p>
    <w:p>
      <w:pPr>
        <w:pStyle w:val="Compact"/>
        <w:numPr>
          <w:ilvl w:val="0"/>
          <w:numId w:val="1005"/>
        </w:numPr>
      </w:pPr>
      <w:hyperlink r:id="rId73">
        <w:r>
          <w:rPr>
            <w:rStyle w:val="Hyperlink"/>
          </w:rPr>
          <w:t xml:space="preserve">Permanent Delegate</w:t>
        </w:r>
      </w:hyperlink>
    </w:p>
    <w:p>
      <w:pPr>
        <w:pStyle w:val="Compact"/>
        <w:numPr>
          <w:ilvl w:val="0"/>
          <w:numId w:val="1005"/>
        </w:numPr>
      </w:pPr>
      <w:hyperlink r:id="rId74">
        <w:r>
          <w:rPr>
            <w:rStyle w:val="Hyperlink"/>
          </w:rPr>
          <w:t xml:space="preserve">Metadata Pointer</w:t>
        </w:r>
      </w:hyperlink>
    </w:p>
    <w:bookmarkEnd w:id="75"/>
    <w:bookmarkStart w:id="79" w:name="related-fanengagement-documents"/>
    <w:p>
      <w:pPr>
        <w:pStyle w:val="Heading3"/>
      </w:pPr>
      <w:r>
        <w:t xml:space="preserve">Related FanEngagement Documents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Solana Capabilities Analysis</w:t>
        </w:r>
      </w:hyperlink>
      <w:r>
        <w:t xml:space="preserve"> </w:t>
      </w:r>
      <w:r>
        <w:t xml:space="preserve">- Cost projections, PDA patterns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Governance Models Evaluation</w:t>
        </w:r>
      </w:hyperlink>
      <w:r>
        <w:t xml:space="preserve"> </w:t>
      </w:r>
      <w:r>
        <w:t xml:space="preserve">- On-chain vs off-chain voting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Architecture Overview</w:t>
        </w:r>
      </w:hyperlink>
      <w:r>
        <w:t xml:space="preserve"> </w:t>
      </w:r>
      <w:r>
        <w:t xml:space="preserve">- Domain model, ShareType entity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ATA</w:t>
            </w:r>
          </w:p>
        </w:tc>
        <w:tc>
          <w:tcPr/>
          <w:p>
            <w:pPr>
              <w:pStyle w:val="Compact"/>
            </w:pPr>
            <w:r>
              <w:t xml:space="preserve">Associated Token Account - deterministic token account per wallet/mint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</w:t>
            </w:r>
          </w:p>
        </w:tc>
        <w:tc>
          <w:tcPr/>
          <w:p>
            <w:pPr>
              <w:pStyle w:val="Compact"/>
            </w:pPr>
            <w:r>
              <w:t xml:space="preserve">Permanently destroy tokens, reducing total supply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Custodial Wallet</w:t>
            </w:r>
          </w:p>
        </w:tc>
        <w:tc>
          <w:tcPr/>
          <w:p>
            <w:pPr>
              <w:pStyle w:val="Compact"/>
            </w:pPr>
            <w:r>
              <w:t xml:space="preserve">Wallet controlled by the platform on behalf of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HSM</w:t>
            </w:r>
          </w:p>
        </w:tc>
        <w:tc>
          <w:tcPr/>
          <w:p>
            <w:pPr>
              <w:pStyle w:val="Compact"/>
            </w:pPr>
            <w:r>
              <w:t xml:space="preserve">Hardware Security Module - secure key storage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KMS</w:t>
            </w:r>
          </w:p>
        </w:tc>
        <w:tc>
          <w:tcPr/>
          <w:p>
            <w:pPr>
              <w:pStyle w:val="Compact"/>
            </w:pPr>
            <w:r>
              <w:t xml:space="preserve">Key Management Service - cloud-based key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Metaplex</w:t>
            </w:r>
          </w:p>
        </w:tc>
        <w:tc>
          <w:tcPr/>
          <w:p>
            <w:pPr>
              <w:pStyle w:val="Compact"/>
            </w:pPr>
            <w:r>
              <w:t xml:space="preserve">Solana metadata standard and tooling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Mint</w:t>
            </w:r>
          </w:p>
        </w:tc>
        <w:tc>
          <w:tcPr/>
          <w:p>
            <w:pPr>
              <w:pStyle w:val="Compact"/>
            </w:pPr>
            <w:r>
              <w:t xml:space="preserve">Token factory that creates new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Mint Authority</w:t>
            </w:r>
          </w:p>
        </w:tc>
        <w:tc>
          <w:tcPr/>
          <w:p>
            <w:pPr>
              <w:pStyle w:val="Compact"/>
            </w:pPr>
            <w:r>
              <w:t xml:space="preserve">Account authorized to create new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Non-Transferable</w:t>
            </w:r>
          </w:p>
        </w:tc>
        <w:tc>
          <w:tcPr/>
          <w:p>
            <w:pPr>
              <w:pStyle w:val="Compact"/>
            </w:pPr>
            <w:r>
              <w:t xml:space="preserve">Tokens that cannot be moved between wallets (soulbound)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PDA</w:t>
            </w:r>
          </w:p>
        </w:tc>
        <w:tc>
          <w:tcPr/>
          <w:p>
            <w:pPr>
              <w:pStyle w:val="Compact"/>
            </w:pPr>
            <w:r>
              <w:t xml:space="preserve">Program Derived Address - deterministic address without private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 Delegate</w:t>
            </w:r>
          </w:p>
        </w:tc>
        <w:tc>
          <w:tcPr/>
          <w:p>
            <w:pPr>
              <w:pStyle w:val="Compact"/>
            </w:pPr>
            <w:r>
              <w:t xml:space="preserve">Token-2022 extension granting permanent control to a 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 Token</w:t>
            </w:r>
          </w:p>
        </w:tc>
        <w:tc>
          <w:tcPr/>
          <w:p>
            <w:pPr>
              <w:pStyle w:val="Compact"/>
            </w:pPr>
            <w:r>
              <w:t xml:space="preserve">Solana Program Library Token - standard fungible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Token-2022</w:t>
            </w:r>
          </w:p>
        </w:tc>
        <w:tc>
          <w:tcPr/>
          <w:p>
            <w:pPr>
              <w:pStyle w:val="Compact"/>
            </w:pPr>
            <w:r>
              <w:t xml:space="preserve">Enhanced token program with extensions</w:t>
            </w:r>
          </w:p>
        </w:tc>
      </w:tr>
    </w:tbl>
    <w:bookmarkEnd w:id="81"/>
    <w:bookmarkStart w:id="82" w:name="appendix-b-database-schema-extensions"/>
    <w:p>
      <w:pPr>
        <w:pStyle w:val="Heading2"/>
      </w:pPr>
      <w:r>
        <w:t xml:space="preserve">Appendix B: Database Schema Extensions</w:t>
      </w:r>
    </w:p>
    <w:p>
      <w:pPr>
        <w:pStyle w:val="FirstParagraph"/>
      </w:pPr>
      <w:r>
        <w:t xml:space="preserve">To support tokenization, extend the ShareType entity: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ShareType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fields...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OrganizationId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Symbol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VotingWeight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MaxSupply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IsTransferable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DateTimeOffset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 fields for blockchain integration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MintAddress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Solana mint public key (base58)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MetadataUri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IPFS/Arweave URI for token metadata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MintCreationTxSignature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Transaction that created the mint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BlockchainSyncStatus SyncStatus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Pending, Synced, Failed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DateTimeOffset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LastSyncedAt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BlockchainSyncStatus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Syncing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Synced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Failed</w:t>
      </w:r>
      <w:r>
        <w:br/>
      </w:r>
      <w:r>
        <w:rPr>
          <w:rStyle w:val="OperatorTok"/>
        </w:rPr>
        <w:t xml:space="preserve">}</w:t>
      </w:r>
    </w:p>
    <w:bookmarkEnd w:id="82"/>
    <w:bookmarkStart w:id="86" w:name="appendix-c-event-payloads"/>
    <w:p>
      <w:pPr>
        <w:pStyle w:val="Heading2"/>
      </w:pPr>
      <w:r>
        <w:t xml:space="preserve">Appendix C: Event Payloads</w:t>
      </w:r>
    </w:p>
    <w:bookmarkStart w:id="83" w:name="sharetypecreated-event"/>
    <w:p>
      <w:pPr>
        <w:pStyle w:val="Heading3"/>
      </w:pPr>
      <w:r>
        <w:t xml:space="preserve">ShareTypeCreated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"ShareTypeCreated"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"st-001-..."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 Ticket Holder"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"MUFC-STH"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"Governance share for season ticket holders"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"votingWeight"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"maxSupply"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"isTransferable"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"2024-11-15T10:30:00Z"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sharesissued-event"/>
    <w:p>
      <w:pPr>
        <w:pStyle w:val="Heading3"/>
      </w:pPr>
      <w:r>
        <w:t xml:space="preserve">SharesIssued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"SharesIssued"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"iss-789-..."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"st-001-..."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"user-456-..."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"2024-11-15T11:00:00Z"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sharesrevoked-event"/>
    <w:p>
      <w:pPr>
        <w:pStyle w:val="Heading3"/>
      </w:pPr>
      <w:r>
        <w:t xml:space="preserve">SharesRevoked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"SharesRevoked"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"revocationId"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"rev-321-..."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"st-001-..."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"user-456-..."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"Membership termination"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"2024-11-15T12:00:00Z"</w:t>
      </w:r>
      <w:r>
        <w:br/>
      </w:r>
      <w:r>
        <w:rPr>
          <w:rStyle w:val="FunctionTok"/>
        </w:rPr>
        <w:t xml:space="preserve">}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../architecture.md" TargetMode="External" /><Relationship Type="http://schemas.openxmlformats.org/officeDocument/2006/relationships/hyperlink" Id="rId77" Target="./governance-models-evaluation.md" TargetMode="External" /><Relationship Type="http://schemas.openxmlformats.org/officeDocument/2006/relationships/hyperlink" Id="rId76" Target="./solana-capabilities-analysis.md" TargetMode="External" /><Relationship Type="http://schemas.openxmlformats.org/officeDocument/2006/relationships/hyperlink" Id="rId69" Target="https://docs.metaplex.com/programs/token-metadata/" TargetMode="External" /><Relationship Type="http://schemas.openxmlformats.org/officeDocument/2006/relationships/hyperlink" Id="rId70" Target="https://docs.metaplex.com/programs/token-metadata/token-standard#the-fungible-standard" TargetMode="External" /><Relationship Type="http://schemas.openxmlformats.org/officeDocument/2006/relationships/hyperlink" Id="rId74" Target="https://solana.com/developers/guides/token-extensions/metadata-pointer" TargetMode="External" /><Relationship Type="http://schemas.openxmlformats.org/officeDocument/2006/relationships/hyperlink" Id="rId72" Target="https://solana.com/developers/guides/token-extensions/non-transferable" TargetMode="External" /><Relationship Type="http://schemas.openxmlformats.org/officeDocument/2006/relationships/hyperlink" Id="rId73" Target="https://solana.com/developers/guides/token-extensions/permanent-delegate" TargetMode="External" /><Relationship Type="http://schemas.openxmlformats.org/officeDocument/2006/relationships/hyperlink" Id="rId66" Target="https://solana.com/solutions/token-extensions" TargetMode="External" /><Relationship Type="http://schemas.openxmlformats.org/officeDocument/2006/relationships/hyperlink" Id="rId67" Target="https://spl.solana.com/associated-token-account" TargetMode="External" /><Relationship Type="http://schemas.openxmlformats.org/officeDocument/2006/relationships/hyperlink" Id="rId65" Target="https://spl.solana.com/tok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../architecture.md" TargetMode="External" /><Relationship Type="http://schemas.openxmlformats.org/officeDocument/2006/relationships/hyperlink" Id="rId77" Target="./governance-models-evaluation.md" TargetMode="External" /><Relationship Type="http://schemas.openxmlformats.org/officeDocument/2006/relationships/hyperlink" Id="rId76" Target="./solana-capabilities-analysis.md" TargetMode="External" /><Relationship Type="http://schemas.openxmlformats.org/officeDocument/2006/relationships/hyperlink" Id="rId69" Target="https://docs.metaplex.com/programs/token-metadata/" TargetMode="External" /><Relationship Type="http://schemas.openxmlformats.org/officeDocument/2006/relationships/hyperlink" Id="rId70" Target="https://docs.metaplex.com/programs/token-metadata/token-standard#the-fungible-standard" TargetMode="External" /><Relationship Type="http://schemas.openxmlformats.org/officeDocument/2006/relationships/hyperlink" Id="rId74" Target="https://solana.com/developers/guides/token-extensions/metadata-pointer" TargetMode="External" /><Relationship Type="http://schemas.openxmlformats.org/officeDocument/2006/relationships/hyperlink" Id="rId72" Target="https://solana.com/developers/guides/token-extensions/non-transferable" TargetMode="External" /><Relationship Type="http://schemas.openxmlformats.org/officeDocument/2006/relationships/hyperlink" Id="rId73" Target="https://solana.com/developers/guides/token-extensions/permanent-delegate" TargetMode="External" /><Relationship Type="http://schemas.openxmlformats.org/officeDocument/2006/relationships/hyperlink" Id="rId66" Target="https://solana.com/solutions/token-extensions" TargetMode="External" /><Relationship Type="http://schemas.openxmlformats.org/officeDocument/2006/relationships/hyperlink" Id="rId67" Target="https://spl.solana.com/associated-token-account" TargetMode="External" /><Relationship Type="http://schemas.openxmlformats.org/officeDocument/2006/relationships/hyperlink" Id="rId65" Target="https://spl.solana.com/tok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2025-11-28T16:23:21Z</dcterms:created>
  <dcterms:modified xsi:type="dcterms:W3CDTF">2025-11-28T16:23:21Z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