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C7900" w:sz="12" w:space="6"/>
        </w:pBdr>
        <w:spacing w:after="200"/>
      </w:pPr>
      <w:r>
        <w:rPr>
          <w:b/>
          <w:bCs/>
          <w:color w:val="182127"/>
          <w:sz w:val="30"/>
          <w:szCs w:val="30"/>
        </w:rPr>
        <w:t xml:space="preserve">Data</w:t>
      </w:r>
      <w:r>
        <w:rPr>
          <w:b/>
          <w:bCs/>
          <w:color w:val="FC7900"/>
          <w:sz w:val="30"/>
          <w:szCs w:val="30"/>
        </w:rPr>
        <w:t xml:space="preserve">FactZ</w:t>
      </w:r>
      <w:r>
        <w:rPr>
          <w:color w:val="5B6B7B"/>
          <w:sz w:val="24"/>
          <w:szCs w:val="24"/>
        </w:rPr>
        <w:t xml:space="preserve">   |   AI Usage Log</w:t>
      </w:r>
    </w:p>
    <w:tbl>
      <w:tblPr>
        <w:tblW w:type="dxa" w:w="9880"/>
        <w:tblBorders>
          <w:top w:val="single" w:color="D9E2EC" w:sz="4"/>
          <w:left w:val="single" w:color="D9E2EC" w:sz="4"/>
          <w:bottom w:val="single" w:color="D9E2EC" w:sz="4"/>
          <w:right w:val="single" w:color="D9E2EC" w:sz="4"/>
          <w:insideH w:val="single" w:color="D9E2EC" w:sz="4"/>
          <w:insideV w:val="single" w:color="D9E2EC" w:sz="4"/>
        </w:tblBorders>
      </w:tblPr>
      <w:tblGrid>
        <w:gridCol w:w="2800"/>
        <w:gridCol w:w="7080"/>
      </w:tblGrid>
      <w:tr>
        <w:trPr>
          <w:tblHeader/>
        </w:trPr>
        <w:tc>
          <w:tcPr>
            <w:tcW w:type="dxa" w:w="2800"/>
            <w:shd w:fill="182127" w:val="clear"/>
            <w:tcMar>
              <w:top w:type="dxa" w:w="90"/>
              <w:left w:type="dxa" w:w="140"/>
              <w:bottom w:type="dxa" w:w="90"/>
              <w:right w:type="dxa" w:w="140"/>
            </w:tcMar>
            <w:vAlign w:val="center"/>
          </w:tcPr>
          <w:p>
            <w:pPr>
              <w:spacing w:after="0" w:line="260"/>
            </w:pPr>
            <w:r>
              <w:rPr>
                <w:b/>
                <w:bCs/>
                <w:color w:val="FFFFFF"/>
                <w:sz w:val="20"/>
                <w:szCs w:val="20"/>
              </w:rPr>
              <w:t xml:space="preserve">Field</w:t>
            </w:r>
          </w:p>
        </w:tc>
        <w:tc>
          <w:tcPr>
            <w:tcW w:type="dxa" w:w="7080"/>
            <w:shd w:fill="182127" w:val="clear"/>
            <w:tcMar>
              <w:top w:type="dxa" w:w="90"/>
              <w:left w:type="dxa" w:w="140"/>
              <w:bottom w:type="dxa" w:w="90"/>
              <w:right w:type="dxa" w:w="140"/>
            </w:tcMar>
            <w:vAlign w:val="center"/>
          </w:tcPr>
          <w:p>
            <w:pPr>
              <w:spacing w:after="0" w:line="260"/>
            </w:pPr>
            <w:r>
              <w:rPr>
                <w:b/>
                <w:bCs/>
                <w:color w:val="FFFFFF"/>
                <w:sz w:val="20"/>
                <w:szCs w:val="20"/>
              </w:rPr>
              <w:t xml:space="preserve">Your entry</w:t>
            </w:r>
          </w:p>
        </w:tc>
      </w:tr>
      <w:tr>
        <w:tc>
          <w:tcPr>
            <w:tcW w:type="dxa" w:w="28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Name</w:t>
            </w:r>
          </w:p>
        </w:tc>
        <w:tc>
          <w:tcPr>
            <w:tcW w:type="dxa" w:w="70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r>
      <w:tr>
        <w:tc>
          <w:tcPr>
            <w:tcW w:type="dxa" w:w="28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Use case</w:t>
            </w:r>
          </w:p>
        </w:tc>
        <w:tc>
          <w:tcPr>
            <w:tcW w:type="dxa" w:w="70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r>
      <w:tr>
        <w:tc>
          <w:tcPr>
            <w:tcW w:type="dxa" w:w="28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Week</w:t>
            </w:r>
          </w:p>
        </w:tc>
        <w:tc>
          <w:tcPr>
            <w:tcW w:type="dxa" w:w="70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r>
    </w:tbl>
    <w:p>
      <w:pPr>
        <w:spacing w:after="120"/>
      </w:pPr>
    </w:p>
    <w:p>
      <w:pPr>
        <w:pStyle w:val="Heading2"/>
      </w:pPr>
      <w:r>
        <w:t xml:space="preserve">Why this log exists</w:t>
      </w:r>
    </w:p>
    <w:p>
      <w:pPr>
        <w:spacing w:after="140" w:line="300"/>
      </w:pPr>
      <w:r>
        <w:t xml:space="preserve">You are expected to use AI tools heavily — that is how modern engineering works. This log is not surveillance and honest entries are never penalized. It exists because the skill we are assessing is not 'can you generate code' but 'do you understand and verify what you ship.' A log full of 'AI wrote it, I checked it, it was fine' with no specifics tells us you didn't check.</w:t>
      </w:r>
    </w:p>
    <w:p>
      <w:pPr>
        <w:pStyle w:val="Heading2"/>
      </w:pPr>
      <w:r>
        <w:t xml:space="preserve">How to keep it</w:t>
      </w:r>
    </w:p>
    <w:p>
      <w:pPr>
        <w:pStyle w:val="ListParagraph"/>
        <w:numPr>
          <w:ilvl w:val="0"/>
          <w:numId w:val="2"/>
        </w:numPr>
        <w:spacing w:after="80" w:line="280"/>
      </w:pPr>
      <w:r>
        <w:t xml:space="preserve">Log meaningful AI interactions — architecture discussions, generated modules, debugging sessions — not every autocomplete.</w:t>
      </w:r>
    </w:p>
    <w:p>
      <w:pPr>
        <w:pStyle w:val="ListParagraph"/>
        <w:numPr>
          <w:ilvl w:val="0"/>
          <w:numId w:val="2"/>
        </w:numPr>
        <w:spacing w:after="80" w:line="280"/>
      </w:pPr>
      <w:r>
        <w:t xml:space="preserve">Update it as you work. Reconstructing it Thursday night produces vague entries, and vague entries score poorly.</w:t>
      </w:r>
    </w:p>
    <w:p>
      <w:pPr>
        <w:pStyle w:val="ListParagraph"/>
        <w:numPr>
          <w:ilvl w:val="0"/>
          <w:numId w:val="2"/>
        </w:numPr>
        <w:spacing w:after="80" w:line="280"/>
      </w:pPr>
      <w:r>
        <w:rPr>
          <w:b/>
          <w:bCs/>
          <w:color w:val="182127"/>
        </w:rPr>
        <w:t xml:space="preserve">The ownership rule: </w:t>
      </w:r>
      <w:r>
        <w:t xml:space="preserve">anything in this log may come up in Friday Q&amp;A. If Claude wrote your chunking logic, you should be able to explain the chunking logic at a whiteboard.</w:t>
      </w:r>
    </w:p>
    <w:p>
      <w:pPr>
        <w:spacing w:after="120"/>
      </w:pPr>
    </w:p>
    <w:p>
      <w:pPr>
        <w:pStyle w:val="Heading2"/>
      </w:pPr>
      <w:r>
        <w:t xml:space="preserve">Log entries</w:t>
      </w:r>
    </w:p>
    <w:tbl>
      <w:tblPr>
        <w:tblW w:type="dxa" w:w="13480"/>
        <w:tblBorders>
          <w:top w:val="single" w:color="D9E2EC" w:sz="4"/>
          <w:left w:val="single" w:color="D9E2EC" w:sz="4"/>
          <w:bottom w:val="single" w:color="D9E2EC" w:sz="4"/>
          <w:right w:val="single" w:color="D9E2EC" w:sz="4"/>
          <w:insideH w:val="single" w:color="D9E2EC" w:sz="4"/>
          <w:insideV w:val="single" w:color="D9E2EC" w:sz="4"/>
        </w:tblBorders>
      </w:tblPr>
      <w:tblGrid>
        <w:gridCol w:w="1100"/>
        <w:gridCol w:w="2100"/>
        <w:gridCol w:w="1800"/>
        <w:gridCol w:w="2700"/>
        <w:gridCol w:w="3000"/>
        <w:gridCol w:w="2780"/>
      </w:tblGrid>
      <w:tr>
        <w:trPr>
          <w:tblHeader/>
        </w:trPr>
        <w:tc>
          <w:tcPr>
            <w:tcW w:type="dxa" w:w="1100"/>
            <w:shd w:fill="182127" w:val="clear"/>
            <w:tcMar>
              <w:top w:type="dxa" w:w="90"/>
              <w:left w:type="dxa" w:w="140"/>
              <w:bottom w:type="dxa" w:w="90"/>
              <w:right w:type="dxa" w:w="140"/>
            </w:tcMar>
            <w:vAlign w:val="center"/>
          </w:tcPr>
          <w:p>
            <w:pPr>
              <w:spacing w:after="0" w:line="260"/>
            </w:pPr>
            <w:r>
              <w:rPr>
                <w:b/>
                <w:bCs/>
                <w:color w:val="FFFFFF"/>
                <w:sz w:val="20"/>
                <w:szCs w:val="20"/>
              </w:rPr>
              <w:t xml:space="preserve">Date</w:t>
            </w:r>
          </w:p>
        </w:tc>
        <w:tc>
          <w:tcPr>
            <w:tcW w:type="dxa" w:w="2100"/>
            <w:shd w:fill="182127" w:val="clear"/>
            <w:tcMar>
              <w:top w:type="dxa" w:w="90"/>
              <w:left w:type="dxa" w:w="140"/>
              <w:bottom w:type="dxa" w:w="90"/>
              <w:right w:type="dxa" w:w="140"/>
            </w:tcMar>
            <w:vAlign w:val="center"/>
          </w:tcPr>
          <w:p>
            <w:pPr>
              <w:spacing w:after="0" w:line="260"/>
            </w:pPr>
            <w:r>
              <w:rPr>
                <w:b/>
                <w:bCs/>
                <w:color w:val="FFFFFF"/>
                <w:sz w:val="20"/>
                <w:szCs w:val="20"/>
              </w:rPr>
              <w:t xml:space="preserve">Task / component</w:t>
            </w:r>
          </w:p>
        </w:tc>
        <w:tc>
          <w:tcPr>
            <w:tcW w:type="dxa" w:w="1800"/>
            <w:shd w:fill="182127" w:val="clear"/>
            <w:tcMar>
              <w:top w:type="dxa" w:w="90"/>
              <w:left w:type="dxa" w:w="140"/>
              <w:bottom w:type="dxa" w:w="90"/>
              <w:right w:type="dxa" w:w="140"/>
            </w:tcMar>
            <w:vAlign w:val="center"/>
          </w:tcPr>
          <w:p>
            <w:pPr>
              <w:spacing w:after="0" w:line="260"/>
            </w:pPr>
            <w:r>
              <w:rPr>
                <w:b/>
                <w:bCs/>
                <w:color w:val="FFFFFF"/>
                <w:sz w:val="20"/>
                <w:szCs w:val="20"/>
              </w:rPr>
              <w:t xml:space="preserve">Tool &amp; model</w:t>
            </w:r>
          </w:p>
        </w:tc>
        <w:tc>
          <w:tcPr>
            <w:tcW w:type="dxa" w:w="2700"/>
            <w:shd w:fill="182127" w:val="clear"/>
            <w:tcMar>
              <w:top w:type="dxa" w:w="90"/>
              <w:left w:type="dxa" w:w="140"/>
              <w:bottom w:type="dxa" w:w="90"/>
              <w:right w:type="dxa" w:w="140"/>
            </w:tcMar>
            <w:vAlign w:val="center"/>
          </w:tcPr>
          <w:p>
            <w:pPr>
              <w:spacing w:after="0" w:line="260"/>
            </w:pPr>
            <w:r>
              <w:rPr>
                <w:b/>
                <w:bCs/>
                <w:color w:val="FFFFFF"/>
                <w:sz w:val="20"/>
                <w:szCs w:val="20"/>
              </w:rPr>
              <w:t xml:space="preserve">What I asked for</w:t>
            </w:r>
          </w:p>
        </w:tc>
        <w:tc>
          <w:tcPr>
            <w:tcW w:type="dxa" w:w="3000"/>
            <w:shd w:fill="182127" w:val="clear"/>
            <w:tcMar>
              <w:top w:type="dxa" w:w="90"/>
              <w:left w:type="dxa" w:w="140"/>
              <w:bottom w:type="dxa" w:w="90"/>
              <w:right w:type="dxa" w:w="140"/>
            </w:tcMar>
            <w:vAlign w:val="center"/>
          </w:tcPr>
          <w:p>
            <w:pPr>
              <w:spacing w:after="0" w:line="260"/>
            </w:pPr>
            <w:r>
              <w:rPr>
                <w:b/>
                <w:bCs/>
                <w:color w:val="FFFFFF"/>
                <w:sz w:val="20"/>
                <w:szCs w:val="20"/>
              </w:rPr>
              <w:t xml:space="preserve">What I verified or changed</w:t>
            </w:r>
          </w:p>
        </w:tc>
        <w:tc>
          <w:tcPr>
            <w:tcW w:type="dxa" w:w="2780"/>
            <w:shd w:fill="182127" w:val="clear"/>
            <w:tcMar>
              <w:top w:type="dxa" w:w="90"/>
              <w:left w:type="dxa" w:w="140"/>
              <w:bottom w:type="dxa" w:w="90"/>
              <w:right w:type="dxa" w:w="140"/>
            </w:tcMar>
            <w:vAlign w:val="center"/>
          </w:tcPr>
          <w:p>
            <w:pPr>
              <w:spacing w:after="0" w:line="260"/>
            </w:pPr>
            <w:r>
              <w:rPr>
                <w:b/>
                <w:bCs/>
                <w:color w:val="FFFFFF"/>
                <w:sz w:val="20"/>
                <w:szCs w:val="20"/>
              </w:rPr>
              <w:t xml:space="preserve">What I built myself</w:t>
            </w:r>
          </w:p>
        </w:tc>
      </w:tr>
      <w:tr>
        <w:tc>
          <w:tcPr>
            <w:tcW w:type="dxa" w:w="11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Jul 20</w:t>
            </w:r>
          </w:p>
        </w:tc>
        <w:tc>
          <w:tcPr>
            <w:tcW w:type="dxa" w:w="21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Ingestion pipeline — chunker</w:t>
            </w:r>
          </w:p>
        </w:tc>
        <w:tc>
          <w:tcPr>
            <w:tcW w:type="dxa" w:w="18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Claude Code (Claude)</w:t>
            </w:r>
          </w:p>
        </w:tc>
        <w:tc>
          <w:tcPr>
            <w:tcW w:type="dxa" w:w="27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Asked for a structure-aware chunker for policy PDFs with heading-based splits, 800-token target</w:t>
            </w:r>
          </w:p>
        </w:tc>
        <w:tc>
          <w:tcPr>
            <w:tcW w:type="dxa" w:w="30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Generated code used naive token counts; I fixed the tokenizer mismatch, added overlap handling, and wrote 4 unit tests to confirm chunk boundaries on 3 sample PDFs</w:t>
            </w:r>
          </w:p>
        </w:tc>
        <w:tc>
          <w:tcPr>
            <w:tcW w:type="dxa" w:w="27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The heading-detection heuristics and the decision to chunk by section rather than fixed size</w:t>
            </w:r>
          </w:p>
        </w:tc>
      </w:tr>
      <w:tr>
        <w:tc>
          <w:tcPr>
            <w:tcW w:type="dxa" w:w="11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1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18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30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r>
      <w:tr>
        <w:tc>
          <w:tcPr>
            <w:tcW w:type="dxa" w:w="11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1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18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30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r>
      <w:tr>
        <w:tc>
          <w:tcPr>
            <w:tcW w:type="dxa" w:w="11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1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18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30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r>
      <w:tr>
        <w:tc>
          <w:tcPr>
            <w:tcW w:type="dxa" w:w="11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1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18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30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r>
      <w:tr>
        <w:tc>
          <w:tcPr>
            <w:tcW w:type="dxa" w:w="11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1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18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30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r>
      <w:tr>
        <w:tc>
          <w:tcPr>
            <w:tcW w:type="dxa" w:w="11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1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18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300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80"/>
            <w:shd w:fill="FFFFFF"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r>
      <w:tr>
        <w:tc>
          <w:tcPr>
            <w:tcW w:type="dxa" w:w="11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1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18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300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c>
          <w:tcPr>
            <w:tcW w:type="dxa" w:w="2780"/>
            <w:shd w:fill="F5F7FA" w:val="clear"/>
            <w:tcMar>
              <w:top w:type="dxa" w:w="90"/>
              <w:left w:type="dxa" w:w="140"/>
              <w:bottom w:type="dxa" w:w="90"/>
              <w:right w:type="dxa" w:w="140"/>
            </w:tcMar>
            <w:vAlign w:val="center"/>
          </w:tcPr>
          <w:p>
            <w:pPr>
              <w:spacing w:after="0" w:line="260"/>
            </w:pPr>
            <w:r>
              <w:rPr>
                <w:b w:val="false"/>
                <w:bCs w:val="false"/>
                <w:color w:val="1F2933"/>
                <w:sz w:val="20"/>
                <w:szCs w:val="20"/>
              </w:rPr>
              <w:t xml:space="preserve"/>
            </w:r>
          </w:p>
        </w:tc>
      </w:tr>
    </w:tbl>
    <w:p>
      <w:pPr>
        <w:spacing w:after="120"/>
      </w:pPr>
    </w:p>
    <w:p>
      <w:pPr>
        <w:spacing w:after="140" w:line="300"/>
      </w:pPr>
      <w:r>
        <w:rPr>
          <w:i/>
          <w:iCs/>
          <w:color w:val="5B6B7B"/>
          <w:sz w:val="19"/>
          <w:szCs w:val="19"/>
        </w:rPr>
        <w:t xml:space="preserve">The first row is a worked example of the expected specificity — replace it with your own entries. Add rows as needed.</w:t>
      </w:r>
    </w:p>
    <w:sectPr>
      <w:pgSz w:w="15840" w:h="12240" w:orient="landscape"/>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rPr>
        <w:color w:val="FC7900"/>
      </w:rPr>
    </w:lvl>
    <w:lvl w:ilvl="1" w15:tentative="1">
      <w:start w:val="1"/>
      <w:numFmt w:val="bullet"/>
      <w:lvlText w:val="–"/>
      <w:lvlJc w:val="left"/>
      <w:pPr>
        <w:ind w:left="760" w:hanging="210"/>
      </w:pPr>
      <w:rPr>
        <w:color w:val="5B6B7B"/>
      </w:rPr>
    </w:lvl>
  </w:abstractNum>
  <w:abstractNum w:abstractNumId="3" w15:restartNumberingAfterBreak="0">
    <w:multiLevelType w:val="hybridMultilevel"/>
    <w:lvl w:ilvl="0" w15:tentative="1">
      <w:start w:val="1"/>
      <w:numFmt w:val="decimal"/>
      <w:lvlText w:val="%1."/>
      <w:lvlJc w:val="left"/>
      <w:pPr>
        <w:ind w:left="420" w:hanging="300"/>
      </w:pPr>
      <w:rPr>
        <w:b/>
        <w:bCs/>
        <w:color w:val="1821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300"/>
    </w:pPr>
    <w:rPr>
      <w:rFonts w:ascii="Inter" w:cs="Inter" w:eastAsia="Inter" w:hAnsi="Inter"/>
      <w:color w:val="1F2933"/>
      <w:sz w:val="21"/>
      <w:szCs w:val="21"/>
    </w:rPr>
  </w:style>
  <w:style w:type="paragraph" w:styleId="Heading1">
    <w:name w:val="Heading 1"/>
    <w:basedOn w:val="Normal"/>
    <w:next w:val="Normal"/>
    <w:qFormat/>
    <w:pPr>
      <w:pBdr>
        <w:bottom w:val="single" w:color="FC7900" w:sz="12" w:space="4"/>
      </w:pBdr>
      <w:spacing w:after="160" w:before="360"/>
      <w:outlineLvl w:val="0"/>
    </w:pPr>
    <w:rPr>
      <w:rFonts w:ascii="Inter" w:cs="Inter" w:eastAsia="Inter" w:hAnsi="Inter"/>
      <w:b/>
      <w:bCs/>
      <w:color w:val="182127"/>
      <w:sz w:val="34"/>
      <w:szCs w:val="34"/>
    </w:rPr>
  </w:style>
  <w:style w:type="paragraph" w:styleId="Heading2">
    <w:name w:val="Heading 2"/>
    <w:basedOn w:val="Normal"/>
    <w:next w:val="Normal"/>
    <w:qFormat/>
    <w:pPr>
      <w:spacing w:after="120" w:before="280"/>
      <w:outlineLvl w:val="1"/>
    </w:pPr>
    <w:rPr>
      <w:rFonts w:ascii="Inter" w:cs="Inter" w:eastAsia="Inter" w:hAnsi="Inter"/>
      <w:b/>
      <w:bCs/>
      <w:color w:val="FC7900"/>
      <w:sz w:val="26"/>
      <w:szCs w:val="26"/>
    </w:rPr>
  </w:style>
  <w:style w:type="paragraph" w:styleId="Heading3">
    <w:name w:val="Heading 3"/>
    <w:basedOn w:val="Normal"/>
    <w:next w:val="Normal"/>
    <w:qFormat/>
    <w:pPr>
      <w:spacing w:after="100" w:before="220"/>
      <w:outlineLvl w:val="2"/>
    </w:pPr>
    <w:rPr>
      <w:rFonts w:ascii="Inter" w:cs="Inter" w:eastAsia="Inter" w:hAnsi="Inter"/>
      <w:b/>
      <w:bCs/>
      <w:color w:val="1821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Usage Log Template</dc:title>
  <dc:creator>DataFactZ</dc:creator>
  <cp:lastModifiedBy>Un-named</cp:lastModifiedBy>
  <cp:revision>1</cp:revision>
  <dcterms:created xsi:type="dcterms:W3CDTF">2026-07-14T19:13:29.056Z</dcterms:created>
  <dcterms:modified xsi:type="dcterms:W3CDTF">2026-07-14T19:13:29.056Z</dcterms:modified>
</cp:coreProperties>
</file>

<file path=docProps/custom.xml><?xml version="1.0" encoding="utf-8"?>
<Properties xmlns="http://schemas.openxmlformats.org/officeDocument/2006/custom-properties" xmlns:vt="http://schemas.openxmlformats.org/officeDocument/2006/docPropsVTypes"/>
</file>