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3A5C"/>
          <w:sz w:val="36"/>
          <w:szCs w:val="36"/>
        </w:rPr>
        <w:t xml:space="preserve">CONTOSO CORP</w:t>
      </w:r>
    </w:p>
    <w:p>
      <w:pPr>
        <w:spacing w:after="100"/>
        <w:jc w:val="center"/>
      </w:pPr>
      <w:r>
        <w:rPr>
          <w:b/>
          <w:bCs/>
          <w:color w:val="1A3A5C"/>
          <w:sz w:val="30"/>
          <w:szCs w:val="30"/>
        </w:rPr>
        <w:t xml:space="preserve">Workplace Health &amp; Safety Policy</w:t>
      </w:r>
    </w:p>
    <w:p>
      <w:pPr>
        <w:spacing w:after="100"/>
        <w:jc w:val="center"/>
      </w:pPr>
      <w:r>
        <w:rPr>
          <w:b w:val="false"/>
          <w:bCs w:val="false"/>
          <w:color w:val="1A3A5C"/>
          <w:sz w:val="22"/>
          <w:szCs w:val="22"/>
        </w:rPr>
        <w:t xml:space="preserve">Operations &amp; Risk Management | Effective: January 1, 2024</w:t>
      </w:r>
    </w:p>
    <w:p>
      <w:pPr>
        <w:pBdr>
          <w:bottom w:val="single" w:color="1A3A5C" w:sz="12"/>
        </w:pBd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1440"/>
        <w:gridCol w:w="3600"/>
      </w:tblGrid>
      <w:tr>
        <w:trPr>
          <w:tblHeader/>
        </w:trPr>
        <w:tc>
          <w:tcPr>
            <w:shd w:fill="1A3A5C" w:val="clear"/>
            <w:tcMar>
              <w:top w:type="dxa" w:w="60"/>
              <w:left w:type="dxa" w:w="80"/>
              <w:bottom w:type="dxa" w:w="60"/>
              <w:right w:type="dxa" w:w="80"/>
            </w:tcMar>
          </w:tcPr>
          <w:p>
            <w:r>
              <w:rPr>
                <w:b/>
                <w:bCs/>
                <w:color w:val="FFFFFF"/>
                <w:sz w:val="18"/>
                <w:szCs w:val="18"/>
              </w:rPr>
              <w:t xml:space="preserve">Policy ID</w:t>
            </w:r>
          </w:p>
        </w:tc>
        <w:tc>
          <w:tcPr>
            <w:shd w:fill="1A3A5C" w:val="clear"/>
            <w:tcMar>
              <w:top w:type="dxa" w:w="60"/>
              <w:left w:type="dxa" w:w="80"/>
              <w:bottom w:type="dxa" w:w="60"/>
              <w:right w:type="dxa" w:w="80"/>
            </w:tcMar>
          </w:tcPr>
          <w:p>
            <w:r>
              <w:rPr>
                <w:b/>
                <w:bCs/>
                <w:color w:val="FFFFFF"/>
                <w:sz w:val="18"/>
                <w:szCs w:val="18"/>
              </w:rPr>
              <w:t xml:space="preserve">CON-OPS-002</w:t>
            </w:r>
          </w:p>
        </w:tc>
        <w:tc>
          <w:tcPr>
            <w:shd w:fill="1A3A5C" w:val="clear"/>
            <w:tcMar>
              <w:top w:type="dxa" w:w="60"/>
              <w:left w:type="dxa" w:w="80"/>
              <w:bottom w:type="dxa" w:w="60"/>
              <w:right w:type="dxa" w:w="80"/>
            </w:tcMar>
          </w:tcPr>
          <w:p>
            <w:r>
              <w:rPr>
                <w:b/>
                <w:bCs/>
                <w:color w:val="FFFFFF"/>
                <w:sz w:val="18"/>
                <w:szCs w:val="18"/>
              </w:rPr>
              <w:t xml:space="preserve">Effective Date</w:t>
            </w:r>
          </w:p>
        </w:tc>
        <w:tc>
          <w:tcPr>
            <w:shd w:fill="1A3A5C" w:val="clear"/>
            <w:tcMar>
              <w:top w:type="dxa" w:w="60"/>
              <w:left w:type="dxa" w:w="80"/>
              <w:bottom w:type="dxa" w:w="60"/>
              <w:right w:type="dxa" w:w="80"/>
            </w:tcMar>
          </w:tcPr>
          <w:p>
            <w:r>
              <w:rPr>
                <w:b/>
                <w:bCs/>
                <w:color w:val="FFFFFF"/>
                <w:sz w:val="18"/>
                <w:szCs w:val="18"/>
              </w:rPr>
              <w:t xml:space="preserve">January 1, 2024</w:t>
            </w:r>
          </w:p>
        </w:tc>
      </w:tr>
      <w:tr>
        <w:tc>
          <w:tcPr>
            <w:shd w:fill="FFFFFF" w:val="clear"/>
            <w:tcMar>
              <w:top w:type="dxa" w:w="60"/>
              <w:left w:type="dxa" w:w="80"/>
              <w:bottom w:type="dxa" w:w="60"/>
              <w:right w:type="dxa" w:w="80"/>
            </w:tcMar>
          </w:tcPr>
          <w:p>
            <w:r>
              <w:rPr>
                <w:sz w:val="18"/>
                <w:szCs w:val="18"/>
              </w:rPr>
              <w:t xml:space="preserve">Last Reviewed</w:t>
            </w:r>
          </w:p>
        </w:tc>
        <w:tc>
          <w:tcPr>
            <w:shd w:fill="FFFFFF" w:val="clear"/>
            <w:tcMar>
              <w:top w:type="dxa" w:w="60"/>
              <w:left w:type="dxa" w:w="80"/>
              <w:bottom w:type="dxa" w:w="60"/>
              <w:right w:type="dxa" w:w="80"/>
            </w:tcMar>
          </w:tcPr>
          <w:p>
            <w:r>
              <w:rPr>
                <w:sz w:val="18"/>
                <w:szCs w:val="18"/>
              </w:rPr>
              <w:t xml:space="preserve">December 2023</w:t>
            </w:r>
          </w:p>
        </w:tc>
        <w:tc>
          <w:tcPr>
            <w:shd w:fill="FFFFFF" w:val="clear"/>
            <w:tcMar>
              <w:top w:type="dxa" w:w="60"/>
              <w:left w:type="dxa" w:w="80"/>
              <w:bottom w:type="dxa" w:w="60"/>
              <w:right w:type="dxa" w:w="80"/>
            </w:tcMar>
          </w:tcPr>
          <w:p>
            <w:r>
              <w:rPr>
                <w:sz w:val="18"/>
                <w:szCs w:val="18"/>
              </w:rPr>
              <w:t xml:space="preserve">Policy Owner</w:t>
            </w:r>
          </w:p>
        </w:tc>
        <w:tc>
          <w:tcPr>
            <w:shd w:fill="FFFFFF" w:val="clear"/>
            <w:tcMar>
              <w:top w:type="dxa" w:w="60"/>
              <w:left w:type="dxa" w:w="80"/>
              <w:bottom w:type="dxa" w:w="60"/>
              <w:right w:type="dxa" w:w="80"/>
            </w:tcMar>
          </w:tcPr>
          <w:p>
            <w:r>
              <w:rPr>
                <w:sz w:val="18"/>
                <w:szCs w:val="18"/>
              </w:rPr>
              <w:t xml:space="preserve">VP, Operations &amp; Facilities</w:t>
            </w:r>
          </w:p>
        </w:tc>
      </w:tr>
    </w:tbl>
    <w:p>
      <w:pPr>
        <w:spacing w:after="120"/>
      </w:pPr>
    </w:p>
    <w:p>
      <w:pPr>
        <w:pStyle w:val="Heading1"/>
        <w:spacing w:after="80" w:before="240"/>
      </w:pPr>
      <w:r>
        <w:rPr>
          <w:b/>
          <w:bCs/>
          <w:color w:val="1A3A5C"/>
          <w:sz w:val="26"/>
          <w:szCs w:val="26"/>
        </w:rPr>
        <w:t xml:space="preserve">1. Purpose &amp; Scope</w:t>
      </w:r>
    </w:p>
    <w:p>
      <w:pPr>
        <w:spacing w:after="100"/>
        <w:jc w:val="both"/>
      </w:pPr>
      <w:r>
        <w:rPr>
          <w:sz w:val="20"/>
          <w:szCs w:val="20"/>
        </w:rPr>
        <w:t xml:space="preserve">Contoso Corp is committed to providing every employee, contractor, and visitor with a safe and healthy work environment. This policy establishes health and safety standards, responsibilities, and procedures for all Contoso Corp facilities and work activities. It applies globally and complies with OSHA, local health and safety legislation, and applicable international standards including ISO 45001.</w:t>
      </w:r>
    </w:p>
    <w:p>
      <w:pPr>
        <w:pStyle w:val="Heading1"/>
        <w:spacing w:after="80" w:before="240"/>
      </w:pPr>
      <w:r>
        <w:rPr>
          <w:b/>
          <w:bCs/>
          <w:color w:val="1A3A5C"/>
          <w:sz w:val="26"/>
          <w:szCs w:val="26"/>
        </w:rPr>
        <w:t xml:space="preserve">2. Roles &amp; Responsibilities</w:t>
      </w:r>
    </w:p>
    <w:p>
      <w:pPr>
        <w:pStyle w:val="Heading2"/>
        <w:spacing w:after="60" w:before="160"/>
      </w:pPr>
      <w:r>
        <w:rPr>
          <w:b/>
          <w:bCs/>
          <w:color w:val="2C5F8A"/>
          <w:sz w:val="22"/>
          <w:szCs w:val="22"/>
        </w:rPr>
        <w:t xml:space="preserve">2.1 Executive Leadership</w:t>
      </w:r>
    </w:p>
    <w:p>
      <w:pPr>
        <w:spacing w:after="80"/>
        <w:ind w:left="360"/>
      </w:pPr>
      <w:r>
        <w:rPr>
          <w:sz w:val="20"/>
          <w:szCs w:val="20"/>
        </w:rPr>
        <w:t xml:space="preserve">•  Provide resources, budget, and visible leadership commitment to health and safety.</w:t>
      </w:r>
    </w:p>
    <w:p>
      <w:pPr>
        <w:spacing w:after="80"/>
        <w:ind w:left="360"/>
      </w:pPr>
      <w:r>
        <w:rPr>
          <w:sz w:val="20"/>
          <w:szCs w:val="20"/>
        </w:rPr>
        <w:t xml:space="preserve">•  Review the annual safety performance report and approve safety improvement plans.</w:t>
      </w:r>
    </w:p>
    <w:p>
      <w:pPr>
        <w:spacing w:after="80"/>
        <w:ind w:left="360"/>
      </w:pPr>
      <w:r>
        <w:rPr>
          <w:sz w:val="20"/>
          <w:szCs w:val="20"/>
        </w:rPr>
        <w:t xml:space="preserve">•  Ensure health and safety is integrated into all business decisions.</w:t>
      </w:r>
    </w:p>
    <w:p>
      <w:pPr>
        <w:pStyle w:val="Heading2"/>
        <w:spacing w:after="60" w:before="160"/>
      </w:pPr>
      <w:r>
        <w:rPr>
          <w:b/>
          <w:bCs/>
          <w:color w:val="2C5F8A"/>
          <w:sz w:val="22"/>
          <w:szCs w:val="22"/>
        </w:rPr>
        <w:t xml:space="preserve">2.2 Managers &amp; Supervisors</w:t>
      </w:r>
    </w:p>
    <w:p>
      <w:pPr>
        <w:spacing w:after="80"/>
        <w:ind w:left="360"/>
      </w:pPr>
      <w:r>
        <w:rPr>
          <w:sz w:val="20"/>
          <w:szCs w:val="20"/>
        </w:rPr>
        <w:t xml:space="preserve">•  Conduct monthly safety walks of their work areas and document findings in the Safety Portal.</w:t>
      </w:r>
    </w:p>
    <w:p>
      <w:pPr>
        <w:spacing w:after="80"/>
        <w:ind w:left="360"/>
      </w:pPr>
      <w:r>
        <w:rPr>
          <w:sz w:val="20"/>
          <w:szCs w:val="20"/>
        </w:rPr>
        <w:t xml:space="preserve">•  Ensure all team members complete required safety training within required timeframes.</w:t>
      </w:r>
    </w:p>
    <w:p>
      <w:pPr>
        <w:spacing w:after="80"/>
        <w:ind w:left="360"/>
      </w:pPr>
      <w:r>
        <w:rPr>
          <w:sz w:val="20"/>
          <w:szCs w:val="20"/>
        </w:rPr>
        <w:t xml:space="preserve">•  Investigate workplace incidents and near-misses within 24 hours and report findings to Facilities.</w:t>
      </w:r>
    </w:p>
    <w:p>
      <w:pPr>
        <w:spacing w:after="80"/>
        <w:ind w:left="360"/>
      </w:pPr>
      <w:r>
        <w:rPr>
          <w:sz w:val="20"/>
          <w:szCs w:val="20"/>
        </w:rPr>
        <w:t xml:space="preserve">•  Never pressure employees to work in conditions they reasonably believe are unsafe.</w:t>
      </w:r>
    </w:p>
    <w:p>
      <w:pPr>
        <w:pStyle w:val="Heading2"/>
        <w:spacing w:after="60" w:before="160"/>
      </w:pPr>
      <w:r>
        <w:rPr>
          <w:b/>
          <w:bCs/>
          <w:color w:val="2C5F8A"/>
          <w:sz w:val="22"/>
          <w:szCs w:val="22"/>
        </w:rPr>
        <w:t xml:space="preserve">2.3 All Employees</w:t>
      </w:r>
    </w:p>
    <w:p>
      <w:pPr>
        <w:spacing w:after="80"/>
        <w:ind w:left="360"/>
      </w:pPr>
      <w:r>
        <w:rPr>
          <w:sz w:val="20"/>
          <w:szCs w:val="20"/>
        </w:rPr>
        <w:t xml:space="preserve">•  Follow all safety rules, procedures, and posted instructions at all times.</w:t>
      </w:r>
    </w:p>
    <w:p>
      <w:pPr>
        <w:spacing w:after="80"/>
        <w:ind w:left="360"/>
      </w:pPr>
      <w:r>
        <w:rPr>
          <w:sz w:val="20"/>
          <w:szCs w:val="20"/>
        </w:rPr>
        <w:t xml:space="preserve">•  Immediately report unsafe conditions, incidents, or near-misses to their manager or Facilities (ext. 4400).</w:t>
      </w:r>
    </w:p>
    <w:p>
      <w:pPr>
        <w:spacing w:after="80"/>
        <w:ind w:left="360"/>
      </w:pPr>
      <w:r>
        <w:rPr>
          <w:sz w:val="20"/>
          <w:szCs w:val="20"/>
        </w:rPr>
        <w:t xml:space="preserve">•  Use all required personal protective equipment (PPE) when directed.</w:t>
      </w:r>
    </w:p>
    <w:p>
      <w:pPr>
        <w:spacing w:after="80"/>
        <w:ind w:left="360"/>
      </w:pPr>
      <w:r>
        <w:rPr>
          <w:sz w:val="20"/>
          <w:szCs w:val="20"/>
        </w:rPr>
        <w:t xml:space="preserve">•  Participate in safety training and emergency drills without exception.</w:t>
      </w:r>
    </w:p>
    <w:p>
      <w:pPr>
        <w:spacing w:after="80"/>
        <w:ind w:left="360"/>
      </w:pPr>
      <w:r>
        <w:rPr>
          <w:sz w:val="20"/>
          <w:szCs w:val="20"/>
        </w:rPr>
        <w:t xml:space="preserve">•  Not tamper with safety equipment, fire suppression systems, or emergency exits.</w:t>
      </w:r>
    </w:p>
    <w:p>
      <w:pPr>
        <w:pStyle w:val="Heading1"/>
        <w:spacing w:after="80" w:before="240"/>
      </w:pPr>
      <w:r>
        <w:rPr>
          <w:b/>
          <w:bCs/>
          <w:color w:val="1A3A5C"/>
          <w:sz w:val="26"/>
          <w:szCs w:val="26"/>
        </w:rPr>
        <w:t xml:space="preserve">3. Hazard Identification &amp; Risk Assessment</w:t>
      </w:r>
    </w:p>
    <w:p>
      <w:pPr>
        <w:spacing w:after="100"/>
        <w:jc w:val="both"/>
      </w:pPr>
      <w:r>
        <w:rPr>
          <w:sz w:val="20"/>
          <w:szCs w:val="20"/>
        </w:rPr>
        <w:t xml:space="preserve">Each Contoso Corp facility conducts a formal annual Hazard Identification and Risk Assessment (HIRA). The HIRA evaluates physical, ergonomic, chemical, biological, and psychosocial hazards. Risk ratings are assigned (Low, Medium, High, Critical) and control measures are implemented using the Hierarchy of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92"/>
        <w:gridCol w:w="3888"/>
      </w:tblGrid>
      <w:tr>
        <w:trPr>
          <w:tblHeader/>
        </w:trPr>
        <w:tc>
          <w:tcPr>
            <w:shd w:fill="1A3A5C" w:val="clear"/>
            <w:tcMar>
              <w:top w:type="dxa" w:w="60"/>
              <w:left w:type="dxa" w:w="80"/>
              <w:bottom w:type="dxa" w:w="60"/>
              <w:right w:type="dxa" w:w="80"/>
            </w:tcMar>
          </w:tcPr>
          <w:p>
            <w:r>
              <w:rPr>
                <w:b/>
                <w:bCs/>
                <w:color w:val="FFFFFF"/>
                <w:sz w:val="18"/>
                <w:szCs w:val="18"/>
              </w:rPr>
              <w:t xml:space="preserve">Control Level</w:t>
            </w:r>
          </w:p>
        </w:tc>
        <w:tc>
          <w:tcPr>
            <w:shd w:fill="1A3A5C" w:val="clear"/>
            <w:tcMar>
              <w:top w:type="dxa" w:w="60"/>
              <w:left w:type="dxa" w:w="80"/>
              <w:bottom w:type="dxa" w:w="60"/>
              <w:right w:type="dxa" w:w="80"/>
            </w:tcMar>
          </w:tcPr>
          <w:p>
            <w:r>
              <w:rPr>
                <w:b/>
                <w:bCs/>
                <w:color w:val="FFFFFF"/>
                <w:sz w:val="18"/>
                <w:szCs w:val="18"/>
              </w:rPr>
              <w:t xml:space="preserve">Approach</w:t>
            </w:r>
          </w:p>
        </w:tc>
        <w:tc>
          <w:tcPr>
            <w:shd w:fill="1A3A5C" w:val="clear"/>
            <w:tcMar>
              <w:top w:type="dxa" w:w="60"/>
              <w:left w:type="dxa" w:w="80"/>
              <w:bottom w:type="dxa" w:w="60"/>
              <w:right w:type="dxa" w:w="80"/>
            </w:tcMar>
          </w:tcPr>
          <w:p>
            <w:r>
              <w:rPr>
                <w:b/>
                <w:bCs/>
                <w:color w:val="FFFFFF"/>
                <w:sz w:val="18"/>
                <w:szCs w:val="18"/>
              </w:rPr>
              <w:t xml:space="preserve">Example</w:t>
            </w:r>
          </w:p>
        </w:tc>
      </w:tr>
      <w:tr>
        <w:tc>
          <w:tcPr>
            <w:shd w:fill="FFFFFF" w:val="clear"/>
            <w:tcMar>
              <w:top w:type="dxa" w:w="60"/>
              <w:left w:type="dxa" w:w="80"/>
              <w:bottom w:type="dxa" w:w="60"/>
              <w:right w:type="dxa" w:w="80"/>
            </w:tcMar>
          </w:tcPr>
          <w:p>
            <w:r>
              <w:rPr>
                <w:sz w:val="18"/>
                <w:szCs w:val="18"/>
              </w:rPr>
              <w:t xml:space="preserve">1 — Elimination</w:t>
            </w:r>
          </w:p>
        </w:tc>
        <w:tc>
          <w:tcPr>
            <w:shd w:fill="FFFFFF" w:val="clear"/>
            <w:tcMar>
              <w:top w:type="dxa" w:w="60"/>
              <w:left w:type="dxa" w:w="80"/>
              <w:bottom w:type="dxa" w:w="60"/>
              <w:right w:type="dxa" w:w="80"/>
            </w:tcMar>
          </w:tcPr>
          <w:p>
            <w:r>
              <w:rPr>
                <w:sz w:val="18"/>
                <w:szCs w:val="18"/>
              </w:rPr>
              <w:t xml:space="preserve">Remove the hazard entirely</w:t>
            </w:r>
          </w:p>
        </w:tc>
        <w:tc>
          <w:tcPr>
            <w:shd w:fill="FFFFFF" w:val="clear"/>
            <w:tcMar>
              <w:top w:type="dxa" w:w="60"/>
              <w:left w:type="dxa" w:w="80"/>
              <w:bottom w:type="dxa" w:w="60"/>
              <w:right w:type="dxa" w:w="80"/>
            </w:tcMar>
          </w:tcPr>
          <w:p>
            <w:r>
              <w:rPr>
                <w:sz w:val="18"/>
                <w:szCs w:val="18"/>
              </w:rPr>
              <w:t xml:space="preserve">Discontinue use of a hazardous chemical</w:t>
            </w:r>
          </w:p>
        </w:tc>
      </w:tr>
      <w:tr>
        <w:tc>
          <w:tcPr>
            <w:shd w:fill="EBF2FA" w:val="clear"/>
            <w:tcMar>
              <w:top w:type="dxa" w:w="60"/>
              <w:left w:type="dxa" w:w="80"/>
              <w:bottom w:type="dxa" w:w="60"/>
              <w:right w:type="dxa" w:w="80"/>
            </w:tcMar>
          </w:tcPr>
          <w:p>
            <w:r>
              <w:rPr>
                <w:sz w:val="18"/>
                <w:szCs w:val="18"/>
              </w:rPr>
              <w:t xml:space="preserve">2 — Substitution</w:t>
            </w:r>
          </w:p>
        </w:tc>
        <w:tc>
          <w:tcPr>
            <w:shd w:fill="EBF2FA" w:val="clear"/>
            <w:tcMar>
              <w:top w:type="dxa" w:w="60"/>
              <w:left w:type="dxa" w:w="80"/>
              <w:bottom w:type="dxa" w:w="60"/>
              <w:right w:type="dxa" w:w="80"/>
            </w:tcMar>
          </w:tcPr>
          <w:p>
            <w:r>
              <w:rPr>
                <w:sz w:val="18"/>
                <w:szCs w:val="18"/>
              </w:rPr>
              <w:t xml:space="preserve">Replace with a less hazardous option</w:t>
            </w:r>
          </w:p>
        </w:tc>
        <w:tc>
          <w:tcPr>
            <w:shd w:fill="EBF2FA" w:val="clear"/>
            <w:tcMar>
              <w:top w:type="dxa" w:w="60"/>
              <w:left w:type="dxa" w:w="80"/>
              <w:bottom w:type="dxa" w:w="60"/>
              <w:right w:type="dxa" w:w="80"/>
            </w:tcMar>
          </w:tcPr>
          <w:p>
            <w:r>
              <w:rPr>
                <w:sz w:val="18"/>
                <w:szCs w:val="18"/>
              </w:rPr>
              <w:t xml:space="preserve">Switch to water-based cleaning agent</w:t>
            </w:r>
          </w:p>
        </w:tc>
      </w:tr>
      <w:tr>
        <w:tc>
          <w:tcPr>
            <w:shd w:fill="FFFFFF" w:val="clear"/>
            <w:tcMar>
              <w:top w:type="dxa" w:w="60"/>
              <w:left w:type="dxa" w:w="80"/>
              <w:bottom w:type="dxa" w:w="60"/>
              <w:right w:type="dxa" w:w="80"/>
            </w:tcMar>
          </w:tcPr>
          <w:p>
            <w:r>
              <w:rPr>
                <w:sz w:val="18"/>
                <w:szCs w:val="18"/>
              </w:rPr>
              <w:t xml:space="preserve">3 — Engineering Controls</w:t>
            </w:r>
          </w:p>
        </w:tc>
        <w:tc>
          <w:tcPr>
            <w:shd w:fill="FFFFFF" w:val="clear"/>
            <w:tcMar>
              <w:top w:type="dxa" w:w="60"/>
              <w:left w:type="dxa" w:w="80"/>
              <w:bottom w:type="dxa" w:w="60"/>
              <w:right w:type="dxa" w:w="80"/>
            </w:tcMar>
          </w:tcPr>
          <w:p>
            <w:r>
              <w:rPr>
                <w:sz w:val="18"/>
                <w:szCs w:val="18"/>
              </w:rPr>
              <w:t xml:space="preserve">Isolate people from the hazard</w:t>
            </w:r>
          </w:p>
        </w:tc>
        <w:tc>
          <w:tcPr>
            <w:shd w:fill="FFFFFF" w:val="clear"/>
            <w:tcMar>
              <w:top w:type="dxa" w:w="60"/>
              <w:left w:type="dxa" w:w="80"/>
              <w:bottom w:type="dxa" w:w="60"/>
              <w:right w:type="dxa" w:w="80"/>
            </w:tcMar>
          </w:tcPr>
          <w:p>
            <w:r>
              <w:rPr>
                <w:sz w:val="18"/>
                <w:szCs w:val="18"/>
              </w:rPr>
              <w:t xml:space="preserve">Machine guarding, ventilation systems</w:t>
            </w:r>
          </w:p>
        </w:tc>
      </w:tr>
      <w:tr>
        <w:tc>
          <w:tcPr>
            <w:shd w:fill="EBF2FA" w:val="clear"/>
            <w:tcMar>
              <w:top w:type="dxa" w:w="60"/>
              <w:left w:type="dxa" w:w="80"/>
              <w:bottom w:type="dxa" w:w="60"/>
              <w:right w:type="dxa" w:w="80"/>
            </w:tcMar>
          </w:tcPr>
          <w:p>
            <w:r>
              <w:rPr>
                <w:sz w:val="18"/>
                <w:szCs w:val="18"/>
              </w:rPr>
              <w:t xml:space="preserve">4 — Administrative Controls</w:t>
            </w:r>
          </w:p>
        </w:tc>
        <w:tc>
          <w:tcPr>
            <w:shd w:fill="EBF2FA" w:val="clear"/>
            <w:tcMar>
              <w:top w:type="dxa" w:w="60"/>
              <w:left w:type="dxa" w:w="80"/>
              <w:bottom w:type="dxa" w:w="60"/>
              <w:right w:type="dxa" w:w="80"/>
            </w:tcMar>
          </w:tcPr>
          <w:p>
            <w:r>
              <w:rPr>
                <w:sz w:val="18"/>
                <w:szCs w:val="18"/>
              </w:rPr>
              <w:t xml:space="preserve">Change how work is done</w:t>
            </w:r>
          </w:p>
        </w:tc>
        <w:tc>
          <w:tcPr>
            <w:shd w:fill="EBF2FA" w:val="clear"/>
            <w:tcMar>
              <w:top w:type="dxa" w:w="60"/>
              <w:left w:type="dxa" w:w="80"/>
              <w:bottom w:type="dxa" w:w="60"/>
              <w:right w:type="dxa" w:w="80"/>
            </w:tcMar>
          </w:tcPr>
          <w:p>
            <w:r>
              <w:rPr>
                <w:sz w:val="18"/>
                <w:szCs w:val="18"/>
              </w:rPr>
              <w:t xml:space="preserve">Rotation schedules, safety procedures</w:t>
            </w:r>
          </w:p>
        </w:tc>
      </w:tr>
      <w:tr>
        <w:tc>
          <w:tcPr>
            <w:shd w:fill="FFFFFF" w:val="clear"/>
            <w:tcMar>
              <w:top w:type="dxa" w:w="60"/>
              <w:left w:type="dxa" w:w="80"/>
              <w:bottom w:type="dxa" w:w="60"/>
              <w:right w:type="dxa" w:w="80"/>
            </w:tcMar>
          </w:tcPr>
          <w:p>
            <w:r>
              <w:rPr>
                <w:sz w:val="18"/>
                <w:szCs w:val="18"/>
              </w:rPr>
              <w:t xml:space="preserve">5 — PPE</w:t>
            </w:r>
          </w:p>
        </w:tc>
        <w:tc>
          <w:tcPr>
            <w:shd w:fill="FFFFFF" w:val="clear"/>
            <w:tcMar>
              <w:top w:type="dxa" w:w="60"/>
              <w:left w:type="dxa" w:w="80"/>
              <w:bottom w:type="dxa" w:w="60"/>
              <w:right w:type="dxa" w:w="80"/>
            </w:tcMar>
          </w:tcPr>
          <w:p>
            <w:r>
              <w:rPr>
                <w:sz w:val="18"/>
                <w:szCs w:val="18"/>
              </w:rPr>
              <w:t xml:space="preserve">Protect the individual</w:t>
            </w:r>
          </w:p>
        </w:tc>
        <w:tc>
          <w:tcPr>
            <w:shd w:fill="FFFFFF" w:val="clear"/>
            <w:tcMar>
              <w:top w:type="dxa" w:w="60"/>
              <w:left w:type="dxa" w:w="80"/>
              <w:bottom w:type="dxa" w:w="60"/>
              <w:right w:type="dxa" w:w="80"/>
            </w:tcMar>
          </w:tcPr>
          <w:p>
            <w:r>
              <w:rPr>
                <w:sz w:val="18"/>
                <w:szCs w:val="18"/>
              </w:rPr>
              <w:t xml:space="preserve">Safety glasses, gloves, hearing protection</w:t>
            </w:r>
          </w:p>
        </w:tc>
      </w:tr>
    </w:tbl>
    <w:p>
      <w:pPr>
        <w:spacing w:after="120"/>
      </w:pPr>
    </w:p>
    <w:p>
      <w:pPr>
        <w:pStyle w:val="Heading1"/>
        <w:spacing w:after="80" w:before="240"/>
      </w:pPr>
      <w:r>
        <w:rPr>
          <w:b/>
          <w:bCs/>
          <w:color w:val="1A3A5C"/>
          <w:sz w:val="26"/>
          <w:szCs w:val="26"/>
        </w:rPr>
        <w:t xml:space="preserve">4. Incident Reporting &amp; Investigation</w:t>
      </w:r>
    </w:p>
    <w:p>
      <w:pPr>
        <w:spacing w:after="100"/>
        <w:jc w:val="both"/>
      </w:pPr>
      <w:r>
        <w:rPr>
          <w:sz w:val="20"/>
          <w:szCs w:val="20"/>
        </w:rPr>
        <w:t xml:space="preserve">All workplace incidents — including injuries, illnesses, near-misses, and property damage — must be reported within 24 hours using the Safety Incident Report Form in the Facilities Portal. Life-threatening emergencies require immediate 911 contact first. Contoso Corp investigates all incidents to determine root cause and prevent recurrence.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4"/>
        <w:gridCol w:w="2015"/>
        <w:gridCol w:w="2015"/>
        <w:gridCol w:w="2304"/>
      </w:tblGrid>
      <w:tr>
        <w:trPr>
          <w:tblHeader/>
        </w:trPr>
        <w:tc>
          <w:tcPr>
            <w:shd w:fill="1A3A5C" w:val="clear"/>
            <w:tcMar>
              <w:top w:type="dxa" w:w="60"/>
              <w:left w:type="dxa" w:w="80"/>
              <w:bottom w:type="dxa" w:w="60"/>
              <w:right w:type="dxa" w:w="80"/>
            </w:tcMar>
          </w:tcPr>
          <w:p>
            <w:r>
              <w:rPr>
                <w:b/>
                <w:bCs/>
                <w:color w:val="FFFFFF"/>
                <w:sz w:val="18"/>
                <w:szCs w:val="18"/>
              </w:rPr>
              <w:t xml:space="preserve">Incident Type</w:t>
            </w:r>
          </w:p>
        </w:tc>
        <w:tc>
          <w:tcPr>
            <w:shd w:fill="1A3A5C" w:val="clear"/>
            <w:tcMar>
              <w:top w:type="dxa" w:w="60"/>
              <w:left w:type="dxa" w:w="80"/>
              <w:bottom w:type="dxa" w:w="60"/>
              <w:right w:type="dxa" w:w="80"/>
            </w:tcMar>
          </w:tcPr>
          <w:p>
            <w:r>
              <w:rPr>
                <w:b/>
                <w:bCs/>
                <w:color w:val="FFFFFF"/>
                <w:sz w:val="18"/>
                <w:szCs w:val="18"/>
              </w:rPr>
              <w:t xml:space="preserve">Reporting Deadline</w:t>
            </w:r>
          </w:p>
        </w:tc>
        <w:tc>
          <w:tcPr>
            <w:shd w:fill="1A3A5C" w:val="clear"/>
            <w:tcMar>
              <w:top w:type="dxa" w:w="60"/>
              <w:left w:type="dxa" w:w="80"/>
              <w:bottom w:type="dxa" w:w="60"/>
              <w:right w:type="dxa" w:w="80"/>
            </w:tcMar>
          </w:tcPr>
          <w:p>
            <w:r>
              <w:rPr>
                <w:b/>
                <w:bCs/>
                <w:color w:val="FFFFFF"/>
                <w:sz w:val="18"/>
                <w:szCs w:val="18"/>
              </w:rPr>
              <w:t xml:space="preserve">Investigation SLA</w:t>
            </w:r>
          </w:p>
        </w:tc>
        <w:tc>
          <w:tcPr>
            <w:shd w:fill="1A3A5C" w:val="clear"/>
            <w:tcMar>
              <w:top w:type="dxa" w:w="60"/>
              <w:left w:type="dxa" w:w="80"/>
              <w:bottom w:type="dxa" w:w="60"/>
              <w:right w:type="dxa" w:w="80"/>
            </w:tcMar>
          </w:tcPr>
          <w:p>
            <w:r>
              <w:rPr>
                <w:b/>
                <w:bCs/>
                <w:color w:val="FFFFFF"/>
                <w:sz w:val="18"/>
                <w:szCs w:val="18"/>
              </w:rPr>
              <w:t xml:space="preserve">OSHA Recordable?</w:t>
            </w:r>
          </w:p>
        </w:tc>
      </w:tr>
      <w:tr>
        <w:tc>
          <w:tcPr>
            <w:shd w:fill="FFFFFF" w:val="clear"/>
            <w:tcMar>
              <w:top w:type="dxa" w:w="60"/>
              <w:left w:type="dxa" w:w="80"/>
              <w:bottom w:type="dxa" w:w="60"/>
              <w:right w:type="dxa" w:w="80"/>
            </w:tcMar>
          </w:tcPr>
          <w:p>
            <w:r>
              <w:rPr>
                <w:sz w:val="18"/>
                <w:szCs w:val="18"/>
              </w:rPr>
              <w:t xml:space="preserve">Near-miss (no injury)</w:t>
            </w:r>
          </w:p>
        </w:tc>
        <w:tc>
          <w:tcPr>
            <w:shd w:fill="FFFFFF" w:val="clear"/>
            <w:tcMar>
              <w:top w:type="dxa" w:w="60"/>
              <w:left w:type="dxa" w:w="80"/>
              <w:bottom w:type="dxa" w:w="60"/>
              <w:right w:type="dxa" w:w="80"/>
            </w:tcMar>
          </w:tcPr>
          <w:p>
            <w:r>
              <w:rPr>
                <w:sz w:val="18"/>
                <w:szCs w:val="18"/>
              </w:rPr>
              <w:t xml:space="preserve">Within 24 hours</w:t>
            </w:r>
          </w:p>
        </w:tc>
        <w:tc>
          <w:tcPr>
            <w:shd w:fill="FFFFFF" w:val="clear"/>
            <w:tcMar>
              <w:top w:type="dxa" w:w="60"/>
              <w:left w:type="dxa" w:w="80"/>
              <w:bottom w:type="dxa" w:w="60"/>
              <w:right w:type="dxa" w:w="80"/>
            </w:tcMar>
          </w:tcPr>
          <w:p>
            <w:r>
              <w:rPr>
                <w:sz w:val="18"/>
                <w:szCs w:val="18"/>
              </w:rPr>
              <w:t xml:space="preserve">5 business days</w:t>
            </w:r>
          </w:p>
        </w:tc>
        <w:tc>
          <w:tcPr>
            <w:shd w:fill="FFFFFF" w:val="clear"/>
            <w:tcMar>
              <w:top w:type="dxa" w:w="60"/>
              <w:left w:type="dxa" w:w="80"/>
              <w:bottom w:type="dxa" w:w="60"/>
              <w:right w:type="dxa" w:w="80"/>
            </w:tcMar>
          </w:tcPr>
          <w:p>
            <w:r>
              <w:rPr>
                <w:sz w:val="18"/>
                <w:szCs w:val="18"/>
              </w:rPr>
              <w:t xml:space="preserve">No</w:t>
            </w:r>
          </w:p>
        </w:tc>
      </w:tr>
      <w:tr>
        <w:tc>
          <w:tcPr>
            <w:shd w:fill="EBF2FA" w:val="clear"/>
            <w:tcMar>
              <w:top w:type="dxa" w:w="60"/>
              <w:left w:type="dxa" w:w="80"/>
              <w:bottom w:type="dxa" w:w="60"/>
              <w:right w:type="dxa" w:w="80"/>
            </w:tcMar>
          </w:tcPr>
          <w:p>
            <w:r>
              <w:rPr>
                <w:sz w:val="18"/>
                <w:szCs w:val="18"/>
              </w:rPr>
              <w:t xml:space="preserve">First aid only</w:t>
            </w:r>
          </w:p>
        </w:tc>
        <w:tc>
          <w:tcPr>
            <w:shd w:fill="EBF2FA" w:val="clear"/>
            <w:tcMar>
              <w:top w:type="dxa" w:w="60"/>
              <w:left w:type="dxa" w:w="80"/>
              <w:bottom w:type="dxa" w:w="60"/>
              <w:right w:type="dxa" w:w="80"/>
            </w:tcMar>
          </w:tcPr>
          <w:p>
            <w:r>
              <w:rPr>
                <w:sz w:val="18"/>
                <w:szCs w:val="18"/>
              </w:rPr>
              <w:t xml:space="preserve">Within 24 hours</w:t>
            </w:r>
          </w:p>
        </w:tc>
        <w:tc>
          <w:tcPr>
            <w:shd w:fill="EBF2FA" w:val="clear"/>
            <w:tcMar>
              <w:top w:type="dxa" w:w="60"/>
              <w:left w:type="dxa" w:w="80"/>
              <w:bottom w:type="dxa" w:w="60"/>
              <w:right w:type="dxa" w:w="80"/>
            </w:tcMar>
          </w:tcPr>
          <w:p>
            <w:r>
              <w:rPr>
                <w:sz w:val="18"/>
                <w:szCs w:val="18"/>
              </w:rPr>
              <w:t xml:space="preserve">5 business days</w:t>
            </w:r>
          </w:p>
        </w:tc>
        <w:tc>
          <w:tcPr>
            <w:shd w:fill="EBF2FA" w:val="clear"/>
            <w:tcMar>
              <w:top w:type="dxa" w:w="60"/>
              <w:left w:type="dxa" w:w="80"/>
              <w:bottom w:type="dxa" w:w="60"/>
              <w:right w:type="dxa" w:w="80"/>
            </w:tcMar>
          </w:tcPr>
          <w:p>
            <w:r>
              <w:rPr>
                <w:sz w:val="18"/>
                <w:szCs w:val="18"/>
              </w:rPr>
              <w:t xml:space="preserve">No</w:t>
            </w:r>
          </w:p>
        </w:tc>
      </w:tr>
      <w:tr>
        <w:tc>
          <w:tcPr>
            <w:shd w:fill="FFFFFF" w:val="clear"/>
            <w:tcMar>
              <w:top w:type="dxa" w:w="60"/>
              <w:left w:type="dxa" w:w="80"/>
              <w:bottom w:type="dxa" w:w="60"/>
              <w:right w:type="dxa" w:w="80"/>
            </w:tcMar>
          </w:tcPr>
          <w:p>
            <w:r>
              <w:rPr>
                <w:sz w:val="18"/>
                <w:szCs w:val="18"/>
              </w:rPr>
              <w:t xml:space="preserve">Recordable injury/illness</w:t>
            </w:r>
          </w:p>
        </w:tc>
        <w:tc>
          <w:tcPr>
            <w:shd w:fill="FFFFFF" w:val="clear"/>
            <w:tcMar>
              <w:top w:type="dxa" w:w="60"/>
              <w:left w:type="dxa" w:w="80"/>
              <w:bottom w:type="dxa" w:w="60"/>
              <w:right w:type="dxa" w:w="80"/>
            </w:tcMar>
          </w:tcPr>
          <w:p>
            <w:r>
              <w:rPr>
                <w:sz w:val="18"/>
                <w:szCs w:val="18"/>
              </w:rPr>
              <w:t xml:space="preserve">Within 24 hours</w:t>
            </w:r>
          </w:p>
        </w:tc>
        <w:tc>
          <w:tcPr>
            <w:shd w:fill="FFFFFF" w:val="clear"/>
            <w:tcMar>
              <w:top w:type="dxa" w:w="60"/>
              <w:left w:type="dxa" w:w="80"/>
              <w:bottom w:type="dxa" w:w="60"/>
              <w:right w:type="dxa" w:w="80"/>
            </w:tcMar>
          </w:tcPr>
          <w:p>
            <w:r>
              <w:rPr>
                <w:sz w:val="18"/>
                <w:szCs w:val="18"/>
              </w:rPr>
              <w:t xml:space="preserve">10 business days</w:t>
            </w:r>
          </w:p>
        </w:tc>
        <w:tc>
          <w:tcPr>
            <w:shd w:fill="FFFFFF" w:val="clear"/>
            <w:tcMar>
              <w:top w:type="dxa" w:w="60"/>
              <w:left w:type="dxa" w:w="80"/>
              <w:bottom w:type="dxa" w:w="60"/>
              <w:right w:type="dxa" w:w="80"/>
            </w:tcMar>
          </w:tcPr>
          <w:p>
            <w:r>
              <w:rPr>
                <w:sz w:val="18"/>
                <w:szCs w:val="18"/>
              </w:rPr>
              <w:t xml:space="preserve">Yes — OSHA 300 log</w:t>
            </w:r>
          </w:p>
        </w:tc>
      </w:tr>
      <w:tr>
        <w:tc>
          <w:tcPr>
            <w:shd w:fill="EBF2FA" w:val="clear"/>
            <w:tcMar>
              <w:top w:type="dxa" w:w="60"/>
              <w:left w:type="dxa" w:w="80"/>
              <w:bottom w:type="dxa" w:w="60"/>
              <w:right w:type="dxa" w:w="80"/>
            </w:tcMar>
          </w:tcPr>
          <w:p>
            <w:r>
              <w:rPr>
                <w:sz w:val="18"/>
                <w:szCs w:val="18"/>
              </w:rPr>
              <w:t xml:space="preserve">Lost-time injury</w:t>
            </w:r>
          </w:p>
        </w:tc>
        <w:tc>
          <w:tcPr>
            <w:shd w:fill="EBF2FA" w:val="clear"/>
            <w:tcMar>
              <w:top w:type="dxa" w:w="60"/>
              <w:left w:type="dxa" w:w="80"/>
              <w:bottom w:type="dxa" w:w="60"/>
              <w:right w:type="dxa" w:w="80"/>
            </w:tcMar>
          </w:tcPr>
          <w:p>
            <w:r>
              <w:rPr>
                <w:sz w:val="18"/>
                <w:szCs w:val="18"/>
              </w:rPr>
              <w:t xml:space="preserve">Immediately + within 24 hrs</w:t>
            </w:r>
          </w:p>
        </w:tc>
        <w:tc>
          <w:tcPr>
            <w:shd w:fill="EBF2FA" w:val="clear"/>
            <w:tcMar>
              <w:top w:type="dxa" w:w="60"/>
              <w:left w:type="dxa" w:w="80"/>
              <w:bottom w:type="dxa" w:w="60"/>
              <w:right w:type="dxa" w:w="80"/>
            </w:tcMar>
          </w:tcPr>
          <w:p>
            <w:r>
              <w:rPr>
                <w:sz w:val="18"/>
                <w:szCs w:val="18"/>
              </w:rPr>
              <w:t xml:space="preserve">10 business days</w:t>
            </w:r>
          </w:p>
        </w:tc>
        <w:tc>
          <w:tcPr>
            <w:shd w:fill="EBF2FA" w:val="clear"/>
            <w:tcMar>
              <w:top w:type="dxa" w:w="60"/>
              <w:left w:type="dxa" w:w="80"/>
              <w:bottom w:type="dxa" w:w="60"/>
              <w:right w:type="dxa" w:w="80"/>
            </w:tcMar>
          </w:tcPr>
          <w:p>
            <w:r>
              <w:rPr>
                <w:sz w:val="18"/>
                <w:szCs w:val="18"/>
              </w:rPr>
              <w:t xml:space="preserve">Yes — OSHA 300 log</w:t>
            </w:r>
          </w:p>
        </w:tc>
      </w:tr>
      <w:tr>
        <w:tc>
          <w:tcPr>
            <w:shd w:fill="FFFFFF" w:val="clear"/>
            <w:tcMar>
              <w:top w:type="dxa" w:w="60"/>
              <w:left w:type="dxa" w:w="80"/>
              <w:bottom w:type="dxa" w:w="60"/>
              <w:right w:type="dxa" w:w="80"/>
            </w:tcMar>
          </w:tcPr>
          <w:p>
            <w:r>
              <w:rPr>
                <w:sz w:val="18"/>
                <w:szCs w:val="18"/>
              </w:rPr>
              <w:t xml:space="preserve">Hospitalization / fatality</w:t>
            </w:r>
          </w:p>
        </w:tc>
        <w:tc>
          <w:tcPr>
            <w:shd w:fill="FFFFFF" w:val="clear"/>
            <w:tcMar>
              <w:top w:type="dxa" w:w="60"/>
              <w:left w:type="dxa" w:w="80"/>
              <w:bottom w:type="dxa" w:w="60"/>
              <w:right w:type="dxa" w:w="80"/>
            </w:tcMar>
          </w:tcPr>
          <w:p>
            <w:r>
              <w:rPr>
                <w:sz w:val="18"/>
                <w:szCs w:val="18"/>
              </w:rPr>
              <w:t xml:space="preserve">Within 8 hours to OSHA</w:t>
            </w:r>
          </w:p>
        </w:tc>
        <w:tc>
          <w:tcPr>
            <w:shd w:fill="FFFFFF" w:val="clear"/>
            <w:tcMar>
              <w:top w:type="dxa" w:w="60"/>
              <w:left w:type="dxa" w:w="80"/>
              <w:bottom w:type="dxa" w:w="60"/>
              <w:right w:type="dxa" w:w="80"/>
            </w:tcMar>
          </w:tcPr>
          <w:p>
            <w:r>
              <w:rPr>
                <w:sz w:val="18"/>
                <w:szCs w:val="18"/>
              </w:rPr>
              <w:t xml:space="preserve">Immediate + ongoing</w:t>
            </w:r>
          </w:p>
        </w:tc>
        <w:tc>
          <w:tcPr>
            <w:shd w:fill="FFFFFF" w:val="clear"/>
            <w:tcMar>
              <w:top w:type="dxa" w:w="60"/>
              <w:left w:type="dxa" w:w="80"/>
              <w:bottom w:type="dxa" w:w="60"/>
              <w:right w:type="dxa" w:w="80"/>
            </w:tcMar>
          </w:tcPr>
          <w:p>
            <w:r>
              <w:rPr>
                <w:sz w:val="18"/>
                <w:szCs w:val="18"/>
              </w:rPr>
              <w:t xml:space="preserve">Yes — OSHA 301 report</w:t>
            </w:r>
          </w:p>
        </w:tc>
      </w:tr>
    </w:tbl>
    <w:p>
      <w:pPr>
        <w:spacing w:after="120"/>
      </w:pPr>
    </w:p>
    <w:p>
      <w:pPr>
        <w:pStyle w:val="Heading1"/>
        <w:spacing w:after="80" w:before="240"/>
      </w:pPr>
      <w:r>
        <w:rPr>
          <w:b/>
          <w:bCs/>
          <w:color w:val="1A3A5C"/>
          <w:sz w:val="26"/>
          <w:szCs w:val="26"/>
        </w:rPr>
        <w:t xml:space="preserve">5. Emergency Procedures</w:t>
      </w:r>
    </w:p>
    <w:p>
      <w:pPr>
        <w:pStyle w:val="Heading2"/>
        <w:spacing w:after="60" w:before="160"/>
      </w:pPr>
      <w:r>
        <w:rPr>
          <w:b/>
          <w:bCs/>
          <w:color w:val="2C5F8A"/>
          <w:sz w:val="22"/>
          <w:szCs w:val="22"/>
        </w:rPr>
        <w:t xml:space="preserve">5.1 Evacuation</w:t>
      </w:r>
    </w:p>
    <w:p>
      <w:pPr>
        <w:spacing w:after="100"/>
        <w:jc w:val="both"/>
      </w:pPr>
      <w:r>
        <w:rPr>
          <w:sz w:val="20"/>
          <w:szCs w:val="20"/>
        </w:rPr>
        <w:t xml:space="preserve">Emergency evacuation routes are posted at all workstations and near exits. Employees must familiarize themselves with the nearest two exits from their primary work area. Evacuation drills are conducted twice per year. Floor wardens are designated for each floor and identified by orange vests. All employees must proceed to the designated assembly area and check in with their floor warden. Do not use elevators during an evacuation.</w:t>
      </w:r>
    </w:p>
    <w:p>
      <w:pPr>
        <w:pStyle w:val="Heading2"/>
        <w:spacing w:after="60" w:before="160"/>
      </w:pPr>
      <w:r>
        <w:rPr>
          <w:b/>
          <w:bCs/>
          <w:color w:val="2C5F8A"/>
          <w:sz w:val="22"/>
          <w:szCs w:val="22"/>
        </w:rPr>
        <w:t xml:space="preserve">5.2 Medical Emergencies</w:t>
      </w:r>
    </w:p>
    <w:p>
      <w:pPr>
        <w:spacing w:after="100"/>
        <w:jc w:val="both"/>
      </w:pPr>
      <w:r>
        <w:rPr>
          <w:sz w:val="20"/>
          <w:szCs w:val="20"/>
        </w:rPr>
        <w:t xml:space="preserve">First aid kits are located at designated stations marked with a green cross on facility maps. Automated External Defibrillators (AEDs) are located at the main entrance lobby and each break room. Certified first aid responders are identified on the intranet Safety page. For any medical emergency, call 911 first, then call the Facilities Desk (ext. 4400).</w:t>
      </w:r>
    </w:p>
    <w:p>
      <w:pPr>
        <w:pStyle w:val="Heading2"/>
        <w:spacing w:after="60" w:before="160"/>
      </w:pPr>
      <w:r>
        <w:rPr>
          <w:b/>
          <w:bCs/>
          <w:color w:val="2C5F8A"/>
          <w:sz w:val="22"/>
          <w:szCs w:val="22"/>
        </w:rPr>
        <w:t xml:space="preserve">5.3 Active Threat</w:t>
      </w:r>
    </w:p>
    <w:p>
      <w:pPr>
        <w:spacing w:after="100"/>
        <w:jc w:val="both"/>
      </w:pPr>
      <w:r>
        <w:rPr>
          <w:sz w:val="20"/>
          <w:szCs w:val="20"/>
        </w:rPr>
        <w:t xml:space="preserve">Contoso Corp follows the RUN — HIDE — FIGHT protocol for active threat situations. Run: evacuate if a safe path exists. Hide: secure yourself in a room, silence phones, barricade doors. Fight: as an absolute last resort, defend yourself using available tools. Annual active threat awareness training is provided to all employees through Workday.</w:t>
      </w:r>
    </w:p>
    <w:p>
      <w:pPr>
        <w:pStyle w:val="Heading1"/>
        <w:spacing w:after="80" w:before="240"/>
      </w:pPr>
      <w:r>
        <w:rPr>
          <w:b/>
          <w:bCs/>
          <w:color w:val="1A3A5C"/>
          <w:sz w:val="26"/>
          <w:szCs w:val="26"/>
        </w:rPr>
        <w:t xml:space="preserve">6. Ergonomics Program</w:t>
      </w:r>
    </w:p>
    <w:p>
      <w:pPr>
        <w:spacing w:after="100"/>
        <w:jc w:val="both"/>
      </w:pPr>
      <w:r>
        <w:rPr>
          <w:sz w:val="20"/>
          <w:szCs w:val="20"/>
        </w:rPr>
        <w:t xml:space="preserve">Contoso Corp provides ergonomic assessments to any employee experiencing discomfort related to their workstation. Submit a request via the Facilities Portal. Standard ergonomic accommodations (chair adjustment, monitor riser, keyboard tray) are provided at no cost. Ergonomic equipment beyond the standard kit requires a formal accommodation request (CON-HR-011).</w:t>
      </w:r>
    </w:p>
    <w:p>
      <w:pPr>
        <w:pStyle w:val="Heading1"/>
        <w:spacing w:after="80" w:before="240"/>
      </w:pPr>
      <w:r>
        <w:rPr>
          <w:b/>
          <w:bCs/>
          <w:color w:val="1A3A5C"/>
          <w:sz w:val="26"/>
          <w:szCs w:val="26"/>
        </w:rPr>
        <w:t xml:space="preserve">7. Drug &amp; Alcohol Testing</w:t>
      </w:r>
    </w:p>
    <w:p>
      <w:pPr>
        <w:spacing w:after="100"/>
        <w:jc w:val="both"/>
      </w:pPr>
      <w:r>
        <w:rPr>
          <w:sz w:val="20"/>
          <w:szCs w:val="20"/>
        </w:rPr>
        <w:t xml:space="preserve">Contoso Corp conducts drug and alcohol testing in the following circumstances: (a) post-incident, where substance impairment may be a contributing factor; (b) reasonable suspicion, based on observed behavior documented by a manager and HR; (c) pre-employment, for safety-sensitive roles designated by HR. Testing is conducted by a certified third-party provider. Positive results may result in disciplinary action up to termination.</w:t>
      </w:r>
    </w:p>
    <w:p>
      <w:pPr>
        <w:pStyle w:val="Heading1"/>
        <w:spacing w:after="80" w:before="240"/>
      </w:pPr>
      <w:r>
        <w:rPr>
          <w:b/>
          <w:bCs/>
          <w:color w:val="1A3A5C"/>
          <w:sz w:val="26"/>
          <w:szCs w:val="26"/>
        </w:rPr>
        <w:t xml:space="preserve">8. Wellness &amp; Mental Health</w:t>
      </w:r>
    </w:p>
    <w:p>
      <w:pPr>
        <w:spacing w:after="100"/>
        <w:jc w:val="both"/>
      </w:pPr>
      <w:r>
        <w:rPr>
          <w:sz w:val="20"/>
          <w:szCs w:val="20"/>
        </w:rPr>
        <w:t xml:space="preserve">Physical safety is inseparable from mental and emotional well-being. Contoso Corp recognizes that stress, burnout, and mental health conditions are legitimate occupational health concerns. The Employee Assistance Program (EAP) at 1-800-555-0180 provides free, confidential counseling 24/7. Managers are trained to recognize signs of distress and connect employees with support resources. Contoso Corp prohibits stigmatization of employees who seek mental health support.</w:t>
      </w:r>
    </w:p>
    <w:p>
      <w:pPr>
        <w:spacing w:after="120"/>
      </w:pPr>
    </w:p>
    <w:p>
      <w:pPr>
        <w:pBdr>
          <w:bottom w:val="single" w:color="1A3A5C" w:sz="12"/>
        </w:pBdr>
        <w:spacing w:after="120"/>
      </w:pPr>
    </w:p>
    <w:p>
      <w:pPr>
        <w:spacing w:before="200"/>
        <w:jc w:val="center"/>
      </w:pPr>
      <w:r>
        <w:rPr>
          <w:color w:val="888888"/>
          <w:sz w:val="16"/>
          <w:szCs w:val="16"/>
        </w:rPr>
        <w:t xml:space="preserve">Contoso Corp Confidential  |  CON-OPS-002  |  facilities@contosocorp.com  |  Safety Desk: ext. 4400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2026-07-22T13:22:18.656Z</dcterms:created>
  <dcterms:modified xsi:type="dcterms:W3CDTF">2026-07-22T13:22:18.688Z</dcterms:modified>
</cp:coreProperties>
</file>

<file path=docProps/custom.xml><?xml version="1.0" encoding="utf-8"?>
<Properties xmlns="http://schemas.openxmlformats.org/officeDocument/2006/custom-properties" xmlns:vt="http://schemas.openxmlformats.org/officeDocument/2006/docPropsVTypes"/>
</file>