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3A5C"/>
          <w:sz w:val="36"/>
          <w:szCs w:val="36"/>
        </w:rPr>
        <w:t xml:space="preserve">CONTOSO CORP</w:t>
      </w:r>
    </w:p>
    <w:p>
      <w:pPr>
        <w:spacing w:after="100"/>
        <w:jc w:val="center"/>
      </w:pPr>
      <w:r>
        <w:rPr>
          <w:b/>
          <w:bCs/>
          <w:color w:val="1A3A5C"/>
          <w:sz w:val="30"/>
          <w:szCs w:val="30"/>
        </w:rPr>
        <w:t xml:space="preserve">Employee Handbook</w:t>
      </w:r>
    </w:p>
    <w:p>
      <w:pPr>
        <w:spacing w:after="100"/>
        <w:jc w:val="center"/>
      </w:pPr>
      <w:r>
        <w:rPr>
          <w:b w:val="false"/>
          <w:bCs w:val="false"/>
          <w:color w:val="1A3A5C"/>
          <w:sz w:val="22"/>
          <w:szCs w:val="22"/>
        </w:rPr>
        <w:t xml:space="preserve">Version 4.2 | Effective January 1, 2024</w:t>
      </w:r>
    </w:p>
    <w:p>
      <w:pPr>
        <w:pBdr>
          <w:bottom w:val="single" w:color="1A3A5C" w:sz="12"/>
        </w:pBd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1440"/>
        <w:gridCol w:w="3600"/>
      </w:tblGrid>
      <w:tr>
        <w:trPr>
          <w:tblHeader/>
        </w:trPr>
        <w:tc>
          <w:tcPr>
            <w:shd w:fill="1A3A5C" w:val="clear"/>
            <w:tcMar>
              <w:top w:type="dxa" w:w="60"/>
              <w:left w:type="dxa" w:w="80"/>
              <w:bottom w:type="dxa" w:w="60"/>
              <w:right w:type="dxa" w:w="80"/>
            </w:tcMar>
          </w:tcPr>
          <w:p>
            <w:r>
              <w:rPr>
                <w:b/>
                <w:bCs/>
                <w:color w:val="FFFFFF"/>
                <w:sz w:val="18"/>
                <w:szCs w:val="18"/>
              </w:rPr>
              <w:t xml:space="preserve">Policy ID</w:t>
            </w:r>
          </w:p>
        </w:tc>
        <w:tc>
          <w:tcPr>
            <w:shd w:fill="1A3A5C" w:val="clear"/>
            <w:tcMar>
              <w:top w:type="dxa" w:w="60"/>
              <w:left w:type="dxa" w:w="80"/>
              <w:bottom w:type="dxa" w:w="60"/>
              <w:right w:type="dxa" w:w="80"/>
            </w:tcMar>
          </w:tcPr>
          <w:p>
            <w:r>
              <w:rPr>
                <w:b/>
                <w:bCs/>
                <w:color w:val="FFFFFF"/>
                <w:sz w:val="18"/>
                <w:szCs w:val="18"/>
              </w:rPr>
              <w:t xml:space="preserve">CON-HR-000</w:t>
            </w:r>
          </w:p>
        </w:tc>
        <w:tc>
          <w:tcPr>
            <w:shd w:fill="1A3A5C" w:val="clear"/>
            <w:tcMar>
              <w:top w:type="dxa" w:w="60"/>
              <w:left w:type="dxa" w:w="80"/>
              <w:bottom w:type="dxa" w:w="60"/>
              <w:right w:type="dxa" w:w="80"/>
            </w:tcMar>
          </w:tcPr>
          <w:p>
            <w:r>
              <w:rPr>
                <w:b/>
                <w:bCs/>
                <w:color w:val="FFFFFF"/>
                <w:sz w:val="18"/>
                <w:szCs w:val="18"/>
              </w:rPr>
              <w:t xml:space="preserve">Effective Date</w:t>
            </w:r>
          </w:p>
        </w:tc>
        <w:tc>
          <w:tcPr>
            <w:shd w:fill="1A3A5C" w:val="clear"/>
            <w:tcMar>
              <w:top w:type="dxa" w:w="60"/>
              <w:left w:type="dxa" w:w="80"/>
              <w:bottom w:type="dxa" w:w="60"/>
              <w:right w:type="dxa" w:w="80"/>
            </w:tcMar>
          </w:tcPr>
          <w:p>
            <w:r>
              <w:rPr>
                <w:b/>
                <w:bCs/>
                <w:color w:val="FFFFFF"/>
                <w:sz w:val="18"/>
                <w:szCs w:val="18"/>
              </w:rPr>
              <w:t xml:space="preserve">January 1, 2024</w:t>
            </w:r>
          </w:p>
        </w:tc>
      </w:tr>
      <w:tr>
        <w:tc>
          <w:tcPr>
            <w:shd w:fill="FFFFFF" w:val="clear"/>
            <w:tcMar>
              <w:top w:type="dxa" w:w="60"/>
              <w:left w:type="dxa" w:w="80"/>
              <w:bottom w:type="dxa" w:w="60"/>
              <w:right w:type="dxa" w:w="80"/>
            </w:tcMar>
          </w:tcPr>
          <w:p>
            <w:r>
              <w:rPr>
                <w:sz w:val="18"/>
                <w:szCs w:val="18"/>
              </w:rPr>
              <w:t xml:space="preserve">Last Reviewed</w:t>
            </w:r>
          </w:p>
        </w:tc>
        <w:tc>
          <w:tcPr>
            <w:shd w:fill="FFFFFF" w:val="clear"/>
            <w:tcMar>
              <w:top w:type="dxa" w:w="60"/>
              <w:left w:type="dxa" w:w="80"/>
              <w:bottom w:type="dxa" w:w="60"/>
              <w:right w:type="dxa" w:w="80"/>
            </w:tcMar>
          </w:tcPr>
          <w:p>
            <w:r>
              <w:rPr>
                <w:sz w:val="18"/>
                <w:szCs w:val="18"/>
              </w:rPr>
              <w:t xml:space="preserve">December 2023</w:t>
            </w:r>
          </w:p>
        </w:tc>
        <w:tc>
          <w:tcPr>
            <w:shd w:fill="FFFFFF" w:val="clear"/>
            <w:tcMar>
              <w:top w:type="dxa" w:w="60"/>
              <w:left w:type="dxa" w:w="80"/>
              <w:bottom w:type="dxa" w:w="60"/>
              <w:right w:type="dxa" w:w="80"/>
            </w:tcMar>
          </w:tcPr>
          <w:p>
            <w:r>
              <w:rPr>
                <w:sz w:val="18"/>
                <w:szCs w:val="18"/>
              </w:rPr>
              <w:t xml:space="preserve">Policy Owner</w:t>
            </w:r>
          </w:p>
        </w:tc>
        <w:tc>
          <w:tcPr>
            <w:shd w:fill="FFFFFF" w:val="clear"/>
            <w:tcMar>
              <w:top w:type="dxa" w:w="60"/>
              <w:left w:type="dxa" w:w="80"/>
              <w:bottom w:type="dxa" w:w="60"/>
              <w:right w:type="dxa" w:w="80"/>
            </w:tcMar>
          </w:tcPr>
          <w:p>
            <w:r>
              <w:rPr>
                <w:sz w:val="18"/>
                <w:szCs w:val="18"/>
              </w:rPr>
              <w:t xml:space="preserve">Chief People Officer</w:t>
            </w:r>
          </w:p>
        </w:tc>
      </w:tr>
    </w:tbl>
    <w:p>
      <w:pPr>
        <w:spacing w:after="160"/>
      </w:pPr>
    </w:p>
    <w:p>
      <w:pPr>
        <w:pStyle w:val="Heading1"/>
        <w:spacing w:after="80" w:before="240"/>
      </w:pPr>
      <w:r>
        <w:rPr>
          <w:b/>
          <w:bCs/>
          <w:color w:val="1A3A5C"/>
          <w:sz w:val="26"/>
          <w:szCs w:val="26"/>
        </w:rPr>
        <w:t xml:space="preserve">Welcome to Contoso Corp</w:t>
      </w:r>
    </w:p>
    <w:p>
      <w:pPr>
        <w:spacing w:after="100"/>
        <w:jc w:val="both"/>
      </w:pPr>
      <w:r>
        <w:rPr>
          <w:sz w:val="20"/>
          <w:szCs w:val="20"/>
        </w:rPr>
        <w:t xml:space="preserve">On behalf of everyone at Contoso Corp, welcome. We are a global technology and professional services company committed to delivering innovative solutions to our clients while creating an outstanding workplace for our people. This handbook is your guide to our policies, benefits, expectations, and culture.</w:t>
      </w:r>
    </w:p>
    <w:p>
      <w:pPr>
        <w:spacing w:after="100"/>
        <w:jc w:val="both"/>
      </w:pPr>
      <w:r>
        <w:rPr>
          <w:sz w:val="20"/>
          <w:szCs w:val="20"/>
        </w:rPr>
        <w:t xml:space="preserve">This handbook applies to all regular full-time and part-time employees. Contractors and temporary workers should refer to their specific engagement agreements and the Vendor Code of Conduct. Contoso Corp reserves the right to update this handbook at any time; employees will be notified of material changes via company email.</w:t>
      </w:r>
    </w:p>
    <w:p>
      <w:pPr>
        <w:pStyle w:val="Heading1"/>
        <w:spacing w:after="80" w:before="240"/>
      </w:pPr>
      <w:r>
        <w:rPr>
          <w:b/>
          <w:bCs/>
          <w:color w:val="1A3A5C"/>
          <w:sz w:val="26"/>
          <w:szCs w:val="26"/>
        </w:rPr>
        <w:t xml:space="preserve">1. Our Mission, Vision &amp; Values</w:t>
      </w:r>
    </w:p>
    <w:p>
      <w:pPr>
        <w:pStyle w:val="Heading2"/>
        <w:spacing w:after="60" w:before="160"/>
      </w:pPr>
      <w:r>
        <w:rPr>
          <w:b/>
          <w:bCs/>
          <w:color w:val="2C5F8A"/>
          <w:sz w:val="22"/>
          <w:szCs w:val="22"/>
        </w:rPr>
        <w:t xml:space="preserve">Mission</w:t>
      </w:r>
    </w:p>
    <w:p>
      <w:pPr>
        <w:spacing w:after="100"/>
        <w:jc w:val="both"/>
      </w:pPr>
      <w:r>
        <w:rPr>
          <w:sz w:val="20"/>
          <w:szCs w:val="20"/>
        </w:rPr>
        <w:t xml:space="preserve">To empower enterprises with technology and talent that drives measurable, lasting impact.</w:t>
      </w:r>
    </w:p>
    <w:p>
      <w:pPr>
        <w:pStyle w:val="Heading2"/>
        <w:spacing w:after="60" w:before="160"/>
      </w:pPr>
      <w:r>
        <w:rPr>
          <w:b/>
          <w:bCs/>
          <w:color w:val="2C5F8A"/>
          <w:sz w:val="22"/>
          <w:szCs w:val="22"/>
        </w:rPr>
        <w:t xml:space="preserve">Vision</w:t>
      </w:r>
    </w:p>
    <w:p>
      <w:pPr>
        <w:spacing w:after="100"/>
        <w:jc w:val="both"/>
      </w:pPr>
      <w:r>
        <w:rPr>
          <w:sz w:val="20"/>
          <w:szCs w:val="20"/>
        </w:rPr>
        <w:t xml:space="preserve">To be the most trusted technology and services partner in every market we serve.</w:t>
      </w:r>
    </w:p>
    <w:p>
      <w:pPr>
        <w:pStyle w:val="Heading2"/>
        <w:spacing w:after="60" w:before="160"/>
      </w:pPr>
      <w:r>
        <w:rPr>
          <w:b/>
          <w:bCs/>
          <w:color w:val="2C5F8A"/>
          <w:sz w:val="22"/>
          <w:szCs w:val="22"/>
        </w:rPr>
        <w:t xml:space="preserve">Core Values</w:t>
      </w:r>
    </w:p>
    <w:p>
      <w:pPr>
        <w:spacing w:after="80"/>
        <w:ind w:left="360"/>
      </w:pPr>
      <w:r>
        <w:rPr>
          <w:sz w:val="20"/>
          <w:szCs w:val="20"/>
        </w:rPr>
        <w:t xml:space="preserve">•  Integrity: We are honest and transparent in all that we do.</w:t>
      </w:r>
    </w:p>
    <w:p>
      <w:pPr>
        <w:spacing w:after="80"/>
        <w:ind w:left="360"/>
      </w:pPr>
      <w:r>
        <w:rPr>
          <w:sz w:val="20"/>
          <w:szCs w:val="20"/>
        </w:rPr>
        <w:t xml:space="preserve">•  Innovation: We continuously challenge the status quo and embrace creative solutions.</w:t>
      </w:r>
    </w:p>
    <w:p>
      <w:pPr>
        <w:spacing w:after="80"/>
        <w:ind w:left="360"/>
      </w:pPr>
      <w:r>
        <w:rPr>
          <w:sz w:val="20"/>
          <w:szCs w:val="20"/>
        </w:rPr>
        <w:t xml:space="preserve">•  Inclusion: We celebrate diversity and ensure every voice is heard and respected.</w:t>
      </w:r>
    </w:p>
    <w:p>
      <w:pPr>
        <w:spacing w:after="80"/>
        <w:ind w:left="360"/>
      </w:pPr>
      <w:r>
        <w:rPr>
          <w:sz w:val="20"/>
          <w:szCs w:val="20"/>
        </w:rPr>
        <w:t xml:space="preserve">•  Excellence: We hold ourselves to the highest professional standards.</w:t>
      </w:r>
    </w:p>
    <w:p>
      <w:pPr>
        <w:spacing w:after="80"/>
        <w:ind w:left="360"/>
      </w:pPr>
      <w:r>
        <w:rPr>
          <w:sz w:val="20"/>
          <w:szCs w:val="20"/>
        </w:rPr>
        <w:t xml:space="preserve">•  Collaboration: We achieve more together than any of us could alone.</w:t>
      </w:r>
    </w:p>
    <w:p>
      <w:pPr>
        <w:pStyle w:val="Heading1"/>
        <w:spacing w:after="80" w:before="240"/>
      </w:pPr>
      <w:r>
        <w:rPr>
          <w:b/>
          <w:bCs/>
          <w:color w:val="1A3A5C"/>
          <w:sz w:val="26"/>
          <w:szCs w:val="26"/>
        </w:rPr>
        <w:t xml:space="preserve">2. Employment Policies</w:t>
      </w:r>
    </w:p>
    <w:p>
      <w:pPr>
        <w:pStyle w:val="Heading2"/>
        <w:spacing w:after="60" w:before="160"/>
      </w:pPr>
      <w:r>
        <w:rPr>
          <w:b/>
          <w:bCs/>
          <w:color w:val="2C5F8A"/>
          <w:sz w:val="22"/>
          <w:szCs w:val="22"/>
        </w:rPr>
        <w:t xml:space="preserve">2.1 Equal Employment Opportunity</w:t>
      </w:r>
    </w:p>
    <w:p>
      <w:pPr>
        <w:spacing w:after="100"/>
        <w:jc w:val="both"/>
      </w:pPr>
      <w:r>
        <w:rPr>
          <w:sz w:val="20"/>
          <w:szCs w:val="20"/>
        </w:rPr>
        <w:t xml:space="preserve">Contoso Corp is an equal opportunity employer. We do not discriminate in any employment decision based on race, color, religion, sex, sexual orientation, gender identity, national origin, age, disability, veteran status, genetic information, or any other legally protected characteristic. This policy applies to all aspects of employment including hiring, promotion, compensation, benefits, and termination.</w:t>
      </w:r>
    </w:p>
    <w:p>
      <w:pPr>
        <w:pStyle w:val="Heading2"/>
        <w:spacing w:after="60" w:before="160"/>
      </w:pPr>
      <w:r>
        <w:rPr>
          <w:b/>
          <w:bCs/>
          <w:color w:val="2C5F8A"/>
          <w:sz w:val="22"/>
          <w:szCs w:val="22"/>
        </w:rPr>
        <w:t xml:space="preserve">2.2 At-Will Employment</w:t>
      </w:r>
    </w:p>
    <w:p>
      <w:pPr>
        <w:spacing w:after="100"/>
        <w:jc w:val="both"/>
      </w:pPr>
      <w:r>
        <w:rPr>
          <w:sz w:val="20"/>
          <w:szCs w:val="20"/>
        </w:rPr>
        <w:t xml:space="preserve">Unless otherwise specified in a written employment contract, all employment at Contoso Corp is at will. This means either the employee or the company may end the employment relationship at any time, for any lawful reason, with or without notice. Nothing in this handbook creates a contract of employment.</w:t>
      </w:r>
    </w:p>
    <w:p>
      <w:pPr>
        <w:pStyle w:val="Heading2"/>
        <w:spacing w:after="60" w:before="160"/>
      </w:pPr>
      <w:r>
        <w:rPr>
          <w:b/>
          <w:bCs/>
          <w:color w:val="2C5F8A"/>
          <w:sz w:val="22"/>
          <w:szCs w:val="22"/>
        </w:rPr>
        <w:t xml:space="preserve">2.3 Background Checks</w:t>
      </w:r>
    </w:p>
    <w:p>
      <w:pPr>
        <w:spacing w:after="100"/>
        <w:jc w:val="both"/>
      </w:pPr>
      <w:r>
        <w:rPr>
          <w:sz w:val="20"/>
          <w:szCs w:val="20"/>
        </w:rPr>
        <w:t xml:space="preserve">All offers of employment are contingent upon successful completion of a background check that may include criminal history, employment verification, education verification, and credit check (for finance roles). Background checks are conducted by our third-party vendor in compliance with the Fair Credit Reporting Act.</w:t>
      </w:r>
    </w:p>
    <w:p>
      <w:pPr>
        <w:pStyle w:val="Heading2"/>
        <w:spacing w:after="60" w:before="160"/>
      </w:pPr>
      <w:r>
        <w:rPr>
          <w:b/>
          <w:bCs/>
          <w:color w:val="2C5F8A"/>
          <w:sz w:val="22"/>
          <w:szCs w:val="22"/>
        </w:rPr>
        <w:t xml:space="preserve">2.4 Immigration &amp; Work Authorization</w:t>
      </w:r>
    </w:p>
    <w:p>
      <w:pPr>
        <w:spacing w:after="100"/>
        <w:jc w:val="both"/>
      </w:pPr>
      <w:r>
        <w:rPr>
          <w:sz w:val="20"/>
          <w:szCs w:val="20"/>
        </w:rPr>
        <w:t xml:space="preserve">Contoso Corp complies with all immigration laws. All new hires must complete Form I-9 on their first day and provide acceptable documentation establishing identity and work authorization. Contoso Corp sponsors H-1B and other work visas for qualifying roles; contact People Operations for details.</w:t>
      </w:r>
    </w:p>
    <w:p>
      <w:pPr>
        <w:pStyle w:val="Heading1"/>
        <w:spacing w:after="80" w:before="240"/>
      </w:pPr>
      <w:r>
        <w:rPr>
          <w:b/>
          <w:bCs/>
          <w:color w:val="1A3A5C"/>
          <w:sz w:val="26"/>
          <w:szCs w:val="26"/>
        </w:rPr>
        <w:t xml:space="preserve">3. Compensation &amp; Pay</w:t>
      </w:r>
    </w:p>
    <w:p>
      <w:pPr>
        <w:pStyle w:val="Heading2"/>
        <w:spacing w:after="60" w:before="160"/>
      </w:pPr>
      <w:r>
        <w:rPr>
          <w:b/>
          <w:bCs/>
          <w:color w:val="2C5F8A"/>
          <w:sz w:val="22"/>
          <w:szCs w:val="22"/>
        </w:rPr>
        <w:t xml:space="preserve">3.1 Pay Periods</w:t>
      </w:r>
    </w:p>
    <w:p>
      <w:pPr>
        <w:spacing w:after="100"/>
        <w:jc w:val="both"/>
      </w:pPr>
      <w:r>
        <w:rPr>
          <w:sz w:val="20"/>
          <w:szCs w:val="20"/>
        </w:rPr>
        <w:t xml:space="preserve">Employees are paid on a bi-weekly schedule (every other Friday). Pay stubs are available in Workday. Direct deposit is strongly encouraged; paper checks are available upon request with a 2-day processing delay.</w:t>
      </w:r>
    </w:p>
    <w:p>
      <w:pPr>
        <w:pStyle w:val="Heading2"/>
        <w:spacing w:after="60" w:before="160"/>
      </w:pPr>
      <w:r>
        <w:rPr>
          <w:b/>
          <w:bCs/>
          <w:color w:val="2C5F8A"/>
          <w:sz w:val="22"/>
          <w:szCs w:val="22"/>
        </w:rPr>
        <w:t xml:space="preserve">3.2 Overtime</w:t>
      </w:r>
    </w:p>
    <w:p>
      <w:pPr>
        <w:spacing w:after="100"/>
        <w:jc w:val="both"/>
      </w:pPr>
      <w:r>
        <w:rPr>
          <w:sz w:val="20"/>
          <w:szCs w:val="20"/>
        </w:rPr>
        <w:t xml:space="preserve">Non-exempt (hourly) employees are eligible for overtime pay at 1.5x their regular rate for all hours worked over 40 in a workweek, in accordance with the Fair Labor Standards Act and applicable state laws. Overtime must be pre-approved by a manager. Exempt (salaried) employees are not eligible for overtime pay.</w:t>
      </w:r>
    </w:p>
    <w:p>
      <w:pPr>
        <w:pStyle w:val="Heading2"/>
        <w:spacing w:after="60" w:before="160"/>
      </w:pPr>
      <w:r>
        <w:rPr>
          <w:b/>
          <w:bCs/>
          <w:color w:val="2C5F8A"/>
          <w:sz w:val="22"/>
          <w:szCs w:val="22"/>
        </w:rPr>
        <w:t xml:space="preserve">3.3 Pay Transparency</w:t>
      </w:r>
    </w:p>
    <w:p>
      <w:pPr>
        <w:spacing w:after="100"/>
        <w:jc w:val="both"/>
      </w:pPr>
      <w:r>
        <w:rPr>
          <w:sz w:val="20"/>
          <w:szCs w:val="20"/>
        </w:rPr>
        <w:t xml:space="preserve">Contoso Corp is committed to pay equity. Employees may freely discuss their compensation with colleagues. Pay ranges for each job grade are published on the internal HR portal. Annual pay equity analyses are conducted by the Total Rewards team and results are shared with the Board.</w:t>
      </w:r>
    </w:p>
    <w:p>
      <w:pPr>
        <w:pStyle w:val="Heading1"/>
        <w:spacing w:after="80" w:before="240"/>
      </w:pPr>
      <w:r>
        <w:rPr>
          <w:b/>
          <w:bCs/>
          <w:color w:val="1A3A5C"/>
          <w:sz w:val="26"/>
          <w:szCs w:val="26"/>
        </w:rPr>
        <w:t xml:space="preserve">4. Benefits Summary</w:t>
      </w:r>
    </w:p>
    <w:p>
      <w:pPr>
        <w:spacing w:after="100"/>
        <w:jc w:val="both"/>
      </w:pPr>
      <w:r>
        <w:rPr>
          <w:sz w:val="20"/>
          <w:szCs w:val="20"/>
        </w:rPr>
        <w:t xml:space="preserve">A full benefits guide is available as a separate document (CON-HR-005). Highlights include:</w:t>
      </w:r>
    </w:p>
    <w:p>
      <w:pPr>
        <w:spacing w:after="80"/>
        <w:ind w:left="360"/>
      </w:pPr>
      <w:r>
        <w:rPr>
          <w:sz w:val="20"/>
          <w:szCs w:val="20"/>
        </w:rPr>
        <w:t xml:space="preserve">•  Medical: Choice of PPO, HDHP, or HMO through Aetna; employer covers 80% of premiums.</w:t>
      </w:r>
    </w:p>
    <w:p>
      <w:pPr>
        <w:spacing w:after="80"/>
        <w:ind w:left="360"/>
      </w:pPr>
      <w:r>
        <w:rPr>
          <w:sz w:val="20"/>
          <w:szCs w:val="20"/>
        </w:rPr>
        <w:t xml:space="preserve">•  Dental &amp; Vision: Employer covers 70% of premiums; Delta Dental and VSP networks.</w:t>
      </w:r>
    </w:p>
    <w:p>
      <w:pPr>
        <w:spacing w:after="80"/>
        <w:ind w:left="360"/>
      </w:pPr>
      <w:r>
        <w:rPr>
          <w:sz w:val="20"/>
          <w:szCs w:val="20"/>
        </w:rPr>
        <w:t xml:space="preserve">•  401(k): 4% employer match, immediate vesting on match. Fidelity plan.</w:t>
      </w:r>
    </w:p>
    <w:p>
      <w:pPr>
        <w:spacing w:after="80"/>
        <w:ind w:left="360"/>
      </w:pPr>
      <w:r>
        <w:rPr>
          <w:sz w:val="20"/>
          <w:szCs w:val="20"/>
        </w:rPr>
        <w:t xml:space="preserve">•  Life &amp; Disability: Company-paid basic life (2x salary) and short/long-term disability.</w:t>
      </w:r>
    </w:p>
    <w:p>
      <w:pPr>
        <w:spacing w:after="80"/>
        <w:ind w:left="360"/>
      </w:pPr>
      <w:r>
        <w:rPr>
          <w:sz w:val="20"/>
          <w:szCs w:val="20"/>
        </w:rPr>
        <w:t xml:space="preserve">•  Employee Assistance Program (EAP): Free counseling, legal, and financial advisory services.</w:t>
      </w:r>
    </w:p>
    <w:p>
      <w:pPr>
        <w:spacing w:after="80"/>
        <w:ind w:left="360"/>
      </w:pPr>
      <w:r>
        <w:rPr>
          <w:sz w:val="20"/>
          <w:szCs w:val="20"/>
        </w:rPr>
        <w:t xml:space="preserve">•  Tuition Reimbursement: Up to $5,250/year for job-related courses with a B or better grade.</w:t>
      </w:r>
    </w:p>
    <w:p>
      <w:pPr>
        <w:spacing w:after="80"/>
        <w:ind w:left="360"/>
      </w:pPr>
      <w:r>
        <w:rPr>
          <w:sz w:val="20"/>
          <w:szCs w:val="20"/>
        </w:rPr>
        <w:t xml:space="preserve">•  Commuter Benefits: Pre-tax transit/parking up to IRS limits via WageWorks.</w:t>
      </w:r>
    </w:p>
    <w:p>
      <w:pPr>
        <w:pStyle w:val="Heading1"/>
        <w:spacing w:after="80" w:before="240"/>
      </w:pPr>
      <w:r>
        <w:rPr>
          <w:b/>
          <w:bCs/>
          <w:color w:val="1A3A5C"/>
          <w:sz w:val="26"/>
          <w:szCs w:val="26"/>
        </w:rPr>
        <w:t xml:space="preserve">5. Workplace Conduct</w:t>
      </w:r>
    </w:p>
    <w:p>
      <w:pPr>
        <w:pStyle w:val="Heading2"/>
        <w:spacing w:after="60" w:before="160"/>
      </w:pPr>
      <w:r>
        <w:rPr>
          <w:b/>
          <w:bCs/>
          <w:color w:val="2C5F8A"/>
          <w:sz w:val="22"/>
          <w:szCs w:val="22"/>
        </w:rPr>
        <w:t xml:space="preserve">5.1 Anti-Harassment &amp; Anti-Discrimination</w:t>
      </w:r>
    </w:p>
    <w:p>
      <w:pPr>
        <w:spacing w:after="100"/>
        <w:jc w:val="both"/>
      </w:pPr>
      <w:r>
        <w:rPr>
          <w:sz w:val="20"/>
          <w:szCs w:val="20"/>
        </w:rPr>
        <w:t xml:space="preserve">Contoso Corp maintains a zero-tolerance policy toward harassment and discrimination of any kind. Harassment includes verbal, physical, visual, and digital conduct that creates a hostile, intimidating, or offensive work environment. Sexual harassment — including quid pro quo requests and hostile environment harassment — is specifically prohibited. Report concerns to HR, your manager, or the Ethics Hotline (1-800-555-0199).</w:t>
      </w:r>
    </w:p>
    <w:p>
      <w:pPr>
        <w:pStyle w:val="Heading2"/>
        <w:spacing w:after="60" w:before="160"/>
      </w:pPr>
      <w:r>
        <w:rPr>
          <w:b/>
          <w:bCs/>
          <w:color w:val="2C5F8A"/>
          <w:sz w:val="22"/>
          <w:szCs w:val="22"/>
        </w:rPr>
        <w:t xml:space="preserve">5.2 Workplace Violence Prevention</w:t>
      </w:r>
    </w:p>
    <w:p>
      <w:pPr>
        <w:spacing w:after="100"/>
        <w:jc w:val="both"/>
      </w:pPr>
      <w:r>
        <w:rPr>
          <w:sz w:val="20"/>
          <w:szCs w:val="20"/>
        </w:rPr>
        <w:t xml:space="preserve">Threatening behavior, intimidation, acts of violence, and possession of weapons on company premises or at company events are strictly prohibited. Employees who experience or witness any threatening behavior must report it immediately to HR, Security, or 911 in an emergency.</w:t>
      </w:r>
    </w:p>
    <w:p>
      <w:pPr>
        <w:pStyle w:val="Heading2"/>
        <w:spacing w:after="60" w:before="160"/>
      </w:pPr>
      <w:r>
        <w:rPr>
          <w:b/>
          <w:bCs/>
          <w:color w:val="2C5F8A"/>
          <w:sz w:val="22"/>
          <w:szCs w:val="22"/>
        </w:rPr>
        <w:t xml:space="preserve">5.3 Drug &amp; Alcohol-Free Workplace</w:t>
      </w:r>
    </w:p>
    <w:p>
      <w:pPr>
        <w:spacing w:after="100"/>
        <w:jc w:val="both"/>
      </w:pPr>
      <w:r>
        <w:rPr>
          <w:sz w:val="20"/>
          <w:szCs w:val="20"/>
        </w:rPr>
        <w:t xml:space="preserve">Contoso Corp prohibits the use, possession, distribution, or sale of illegal drugs or alcohol on company premises, during work hours, or at company-sponsored events where such conduct impairs performance or safety. Violation is grounds for immediate termination. The EAP provides confidential substance abuse resources.</w:t>
      </w:r>
    </w:p>
    <w:p>
      <w:pPr>
        <w:pStyle w:val="Heading1"/>
        <w:spacing w:after="80" w:before="240"/>
      </w:pPr>
      <w:r>
        <w:rPr>
          <w:b/>
          <w:bCs/>
          <w:color w:val="1A3A5C"/>
          <w:sz w:val="26"/>
          <w:szCs w:val="26"/>
        </w:rPr>
        <w:t xml:space="preserve">6. Separation from Employment</w:t>
      </w:r>
    </w:p>
    <w:p>
      <w:pPr>
        <w:pStyle w:val="Heading2"/>
        <w:spacing w:after="60" w:before="160"/>
      </w:pPr>
      <w:r>
        <w:rPr>
          <w:b/>
          <w:bCs/>
          <w:color w:val="2C5F8A"/>
          <w:sz w:val="22"/>
          <w:szCs w:val="22"/>
        </w:rPr>
        <w:t xml:space="preserve">6.1 Voluntary Resignation</w:t>
      </w:r>
    </w:p>
    <w:p>
      <w:pPr>
        <w:spacing w:after="100"/>
        <w:jc w:val="both"/>
      </w:pPr>
      <w:r>
        <w:rPr>
          <w:sz w:val="20"/>
          <w:szCs w:val="20"/>
        </w:rPr>
        <w:t xml:space="preserve">Employees resigning should provide a minimum of 2 weeks written notice to their manager and HR. Employees in management or technical leadership roles are encouraged to provide 4 weeks notice. Upon resignation, all company property must be returned on or before the final day, and access to systems will be revoked at end of business on the final day.</w:t>
      </w:r>
    </w:p>
    <w:p>
      <w:pPr>
        <w:pStyle w:val="Heading2"/>
        <w:spacing w:after="60" w:before="160"/>
      </w:pPr>
      <w:r>
        <w:rPr>
          <w:b/>
          <w:bCs/>
          <w:color w:val="2C5F8A"/>
          <w:sz w:val="22"/>
          <w:szCs w:val="22"/>
        </w:rPr>
        <w:t xml:space="preserve">6.2 Involuntary Termination</w:t>
      </w:r>
    </w:p>
    <w:p>
      <w:pPr>
        <w:spacing w:after="100"/>
        <w:jc w:val="both"/>
      </w:pPr>
      <w:r>
        <w:rPr>
          <w:sz w:val="20"/>
          <w:szCs w:val="20"/>
        </w:rPr>
        <w:t xml:space="preserve">Contoso Corp may terminate employment at any time for lawful reasons including policy violations, performance issues, or business needs. Severance eligibility is governed by the Contoso Corp Severance Policy (CON-HR-012). Employees terminated for cause are not eligible for severance.</w:t>
      </w:r>
    </w:p>
    <w:p>
      <w:pPr>
        <w:pStyle w:val="Heading2"/>
        <w:spacing w:after="60" w:before="160"/>
      </w:pPr>
      <w:r>
        <w:rPr>
          <w:b/>
          <w:bCs/>
          <w:color w:val="2C5F8A"/>
          <w:sz w:val="22"/>
          <w:szCs w:val="22"/>
        </w:rPr>
        <w:t xml:space="preserve">6.3 Exit Process</w:t>
      </w:r>
    </w:p>
    <w:p>
      <w:pPr>
        <w:spacing w:after="100"/>
        <w:jc w:val="both"/>
      </w:pPr>
      <w:r>
        <w:rPr>
          <w:sz w:val="20"/>
          <w:szCs w:val="20"/>
        </w:rPr>
        <w:t xml:space="preserve">HR will schedule an exit interview. Departing employees must complete all items on the separation checklist: return of equipment, corporate credit card, key fobs and access badges; transfer of active projects; and completion of knowledge documentation. Final pay will be issued per applicable state law.</w:t>
      </w:r>
    </w:p>
    <w:p>
      <w:pPr>
        <w:spacing w:after="160"/>
      </w:pPr>
    </w:p>
    <w:p>
      <w:pPr>
        <w:pBdr>
          <w:bottom w:val="single" w:color="1A3A5C" w:sz="12"/>
        </w:pBdr>
        <w:spacing w:after="120"/>
      </w:pPr>
    </w:p>
    <w:p>
      <w:pPr>
        <w:jc w:val="center"/>
      </w:pPr>
      <w:r>
        <w:rPr>
          <w:color w:val="888888"/>
          <w:sz w:val="16"/>
          <w:szCs w:val="16"/>
        </w:rPr>
        <w:t xml:space="preserve">Contoso Corp Confidential  |  CON-HR-000  |  Questions: hr@contosocorp.com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2026-07-21T21:32:49.359Z</dcterms:created>
  <dcterms:modified xsi:type="dcterms:W3CDTF">2026-07-21T21:32:49.376Z</dcterms:modified>
</cp:coreProperties>
</file>

<file path=docProps/custom.xml><?xml version="1.0" encoding="utf-8"?>
<Properties xmlns="http://schemas.openxmlformats.org/officeDocument/2006/custom-properties" xmlns:vt="http://schemas.openxmlformats.org/officeDocument/2006/docPropsVTypes"/>
</file>