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A5C"/>
          <w:sz w:val="36"/>
          <w:szCs w:val="36"/>
        </w:rPr>
        <w:t xml:space="preserve">CONTOSO CORP</w:t>
      </w:r>
    </w:p>
    <w:p>
      <w:pPr>
        <w:spacing w:after="100"/>
        <w:jc w:val="center"/>
      </w:pPr>
      <w:r>
        <w:rPr>
          <w:b/>
          <w:bCs/>
          <w:color w:val="1A3A5C"/>
          <w:sz w:val="30"/>
          <w:szCs w:val="30"/>
        </w:rPr>
        <w:t xml:space="preserve">Recruitment &amp; Hiring Policy</w:t>
      </w:r>
    </w:p>
    <w:p>
      <w:pPr>
        <w:spacing w:after="100"/>
        <w:jc w:val="center"/>
      </w:pPr>
      <w:r>
        <w:rPr>
          <w:b w:val="false"/>
          <w:bCs w:val="false"/>
          <w:color w:val="1A3A5C"/>
          <w:sz w:val="22"/>
          <w:szCs w:val="22"/>
        </w:rPr>
        <w:t xml:space="preserve">Talent Acquisition | Effective: January 1, 2024</w:t>
      </w:r>
    </w:p>
    <w:p>
      <w:pPr>
        <w:pBdr>
          <w:bottom w:val="single" w:color="1A3A5C" w:sz="12"/>
        </w:pBd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440"/>
        <w:gridCol w:w="3600"/>
      </w:tblGrid>
      <w:tr>
        <w:trPr>
          <w:tblHeader/>
        </w:trPr>
        <w:tc>
          <w:tcPr>
            <w:shd w:fill="1A3A5C" w:val="clear"/>
            <w:tcMar>
              <w:top w:type="dxa" w:w="60"/>
              <w:left w:type="dxa" w:w="80"/>
              <w:bottom w:type="dxa" w:w="60"/>
              <w:right w:type="dxa" w:w="80"/>
            </w:tcMar>
          </w:tcPr>
          <w:p>
            <w:r>
              <w:rPr>
                <w:b/>
                <w:bCs/>
                <w:color w:val="FFFFFF"/>
                <w:sz w:val="18"/>
                <w:szCs w:val="18"/>
              </w:rPr>
              <w:t xml:space="preserve">Policy ID</w:t>
            </w:r>
          </w:p>
        </w:tc>
        <w:tc>
          <w:tcPr>
            <w:shd w:fill="1A3A5C" w:val="clear"/>
            <w:tcMar>
              <w:top w:type="dxa" w:w="60"/>
              <w:left w:type="dxa" w:w="80"/>
              <w:bottom w:type="dxa" w:w="60"/>
              <w:right w:type="dxa" w:w="80"/>
            </w:tcMar>
          </w:tcPr>
          <w:p>
            <w:r>
              <w:rPr>
                <w:b/>
                <w:bCs/>
                <w:color w:val="FFFFFF"/>
                <w:sz w:val="18"/>
                <w:szCs w:val="18"/>
              </w:rPr>
              <w:t xml:space="preserve">CON-HR-006</w:t>
            </w:r>
          </w:p>
        </w:tc>
        <w:tc>
          <w:tcPr>
            <w:shd w:fill="1A3A5C" w:val="clear"/>
            <w:tcMar>
              <w:top w:type="dxa" w:w="60"/>
              <w:left w:type="dxa" w:w="80"/>
              <w:bottom w:type="dxa" w:w="60"/>
              <w:right w:type="dxa" w:w="80"/>
            </w:tcMar>
          </w:tcPr>
          <w:p>
            <w:r>
              <w:rPr>
                <w:b/>
                <w:bCs/>
                <w:color w:val="FFFFFF"/>
                <w:sz w:val="18"/>
                <w:szCs w:val="18"/>
              </w:rPr>
              <w:t xml:space="preserve">Effective Date</w:t>
            </w:r>
          </w:p>
        </w:tc>
        <w:tc>
          <w:tcPr>
            <w:shd w:fill="1A3A5C" w:val="clear"/>
            <w:tcMar>
              <w:top w:type="dxa" w:w="60"/>
              <w:left w:type="dxa" w:w="80"/>
              <w:bottom w:type="dxa" w:w="60"/>
              <w:right w:type="dxa" w:w="80"/>
            </w:tcMar>
          </w:tcPr>
          <w:p>
            <w:r>
              <w:rPr>
                <w:b/>
                <w:bCs/>
                <w:color w:val="FFFFFF"/>
                <w:sz w:val="18"/>
                <w:szCs w:val="18"/>
              </w:rPr>
              <w:t xml:space="preserve">January 1, 2024</w:t>
            </w:r>
          </w:p>
        </w:tc>
      </w:tr>
      <w:tr>
        <w:tc>
          <w:tcPr>
            <w:shd w:fill="FFFFFF" w:val="clear"/>
            <w:tcMar>
              <w:top w:type="dxa" w:w="60"/>
              <w:left w:type="dxa" w:w="80"/>
              <w:bottom w:type="dxa" w:w="60"/>
              <w:right w:type="dxa" w:w="80"/>
            </w:tcMar>
          </w:tcPr>
          <w:p>
            <w:r>
              <w:rPr>
                <w:sz w:val="18"/>
                <w:szCs w:val="18"/>
              </w:rPr>
              <w:t xml:space="preserve">Last Reviewed</w:t>
            </w:r>
          </w:p>
        </w:tc>
        <w:tc>
          <w:tcPr>
            <w:shd w:fill="FFFFFF" w:val="clear"/>
            <w:tcMar>
              <w:top w:type="dxa" w:w="60"/>
              <w:left w:type="dxa" w:w="80"/>
              <w:bottom w:type="dxa" w:w="60"/>
              <w:right w:type="dxa" w:w="80"/>
            </w:tcMar>
          </w:tcPr>
          <w:p>
            <w:r>
              <w:rPr>
                <w:sz w:val="18"/>
                <w:szCs w:val="18"/>
              </w:rPr>
              <w:t xml:space="preserve">November 2023</w:t>
            </w:r>
          </w:p>
        </w:tc>
        <w:tc>
          <w:tcPr>
            <w:shd w:fill="FFFFFF" w:val="clear"/>
            <w:tcMar>
              <w:top w:type="dxa" w:w="60"/>
              <w:left w:type="dxa" w:w="80"/>
              <w:bottom w:type="dxa" w:w="60"/>
              <w:right w:type="dxa" w:w="80"/>
            </w:tcMar>
          </w:tcPr>
          <w:p>
            <w:r>
              <w:rPr>
                <w:sz w:val="18"/>
                <w:szCs w:val="18"/>
              </w:rPr>
              <w:t xml:space="preserve">Policy Owner</w:t>
            </w:r>
          </w:p>
        </w:tc>
        <w:tc>
          <w:tcPr>
            <w:shd w:fill="FFFFFF" w:val="clear"/>
            <w:tcMar>
              <w:top w:type="dxa" w:w="60"/>
              <w:left w:type="dxa" w:w="80"/>
              <w:bottom w:type="dxa" w:w="60"/>
              <w:right w:type="dxa" w:w="80"/>
            </w:tcMar>
          </w:tcPr>
          <w:p>
            <w:r>
              <w:rPr>
                <w:sz w:val="18"/>
                <w:szCs w:val="18"/>
              </w:rPr>
              <w:t xml:space="preserve">VP, Talent Acquisition</w:t>
            </w:r>
          </w:p>
        </w:tc>
      </w:tr>
    </w:tbl>
    <w:p>
      <w:pPr>
        <w:spacing w:after="160"/>
      </w:pPr>
    </w:p>
    <w:p>
      <w:pPr>
        <w:pStyle w:val="Heading1"/>
        <w:spacing w:after="80" w:before="240"/>
      </w:pPr>
      <w:r>
        <w:rPr>
          <w:b/>
          <w:bCs/>
          <w:color w:val="1A3A5C"/>
          <w:sz w:val="26"/>
          <w:szCs w:val="26"/>
        </w:rPr>
        <w:t xml:space="preserve">1. Purpose &amp; Scope</w:t>
      </w:r>
    </w:p>
    <w:p>
      <w:pPr>
        <w:spacing w:after="100"/>
        <w:jc w:val="both"/>
      </w:pPr>
      <w:r>
        <w:rPr>
          <w:sz w:val="20"/>
          <w:szCs w:val="20"/>
        </w:rPr>
        <w:t xml:space="preserve">This policy establishes a consistent, fair, and compliant hiring process for all regular and fixed-term employment at Contoso Corp. It applies to all hiring managers, recruiters, interview panel members, and HR personnel involved in any stage of recruitment. The goal is to attract and select the best talent while providing a positive candidate experience and ensuring legal compliance.</w:t>
      </w:r>
    </w:p>
    <w:p>
      <w:pPr>
        <w:pStyle w:val="Heading1"/>
        <w:spacing w:after="80" w:before="240"/>
      </w:pPr>
      <w:r>
        <w:rPr>
          <w:b/>
          <w:bCs/>
          <w:color w:val="1A3A5C"/>
          <w:sz w:val="26"/>
          <w:szCs w:val="26"/>
        </w:rPr>
        <w:t xml:space="preserve">2. Requisition Process</w:t>
      </w:r>
    </w:p>
    <w:p>
      <w:pPr>
        <w:spacing w:after="100"/>
        <w:jc w:val="both"/>
      </w:pPr>
      <w:r>
        <w:rPr>
          <w:sz w:val="20"/>
          <w:szCs w:val="20"/>
        </w:rPr>
        <w:t xml:space="preserve">All new and backfill positions must be approved before recruitment begins. The requisition process:</w:t>
      </w:r>
    </w:p>
    <w:p>
      <w:pPr>
        <w:spacing w:after="80"/>
        <w:ind w:left="360"/>
      </w:pPr>
      <w:r>
        <w:rPr>
          <w:sz w:val="20"/>
          <w:szCs w:val="20"/>
        </w:rPr>
        <w:t xml:space="preserve">•  Hiring manager submits a Job Requisition in Workday, including job description, grade level, headcount budget, and start date.</w:t>
      </w:r>
    </w:p>
    <w:p>
      <w:pPr>
        <w:spacing w:after="80"/>
        <w:ind w:left="360"/>
      </w:pPr>
      <w:r>
        <w:rPr>
          <w:sz w:val="20"/>
          <w:szCs w:val="20"/>
        </w:rPr>
        <w:t xml:space="preserve">•  Requisition is routed for approval: Director (up to Grade 8), VP (Grade 9–11), SVP (Grade 12+), CEO (new SVP/VP positions).</w:t>
      </w:r>
    </w:p>
    <w:p>
      <w:pPr>
        <w:spacing w:after="80"/>
        <w:ind w:left="360"/>
      </w:pPr>
      <w:r>
        <w:rPr>
          <w:sz w:val="20"/>
          <w:szCs w:val="20"/>
        </w:rPr>
        <w:t xml:space="preserve">•  HR Compensation reviews grade alignment and market data before posting.</w:t>
      </w:r>
    </w:p>
    <w:p>
      <w:pPr>
        <w:spacing w:after="80"/>
        <w:ind w:left="360"/>
      </w:pPr>
      <w:r>
        <w:rPr>
          <w:sz w:val="20"/>
          <w:szCs w:val="20"/>
        </w:rPr>
        <w:t xml:space="preserve">•  Approved requisitions are posted internally for a minimum of 5 business days before external posting (internal mobility priority).</w:t>
      </w:r>
    </w:p>
    <w:p>
      <w:pPr>
        <w:pStyle w:val="Heading1"/>
        <w:spacing w:after="80" w:before="240"/>
      </w:pPr>
      <w:r>
        <w:rPr>
          <w:b/>
          <w:bCs/>
          <w:color w:val="1A3A5C"/>
          <w:sz w:val="26"/>
          <w:szCs w:val="26"/>
        </w:rPr>
        <w:t xml:space="preserve">3. Interview Process</w:t>
      </w:r>
    </w:p>
    <w:p>
      <w:pPr>
        <w:pStyle w:val="Heading2"/>
        <w:spacing w:after="60" w:before="160"/>
      </w:pPr>
      <w:r>
        <w:rPr>
          <w:b/>
          <w:bCs/>
          <w:color w:val="2C5F8A"/>
          <w:sz w:val="22"/>
          <w:szCs w:val="22"/>
        </w:rPr>
        <w:t xml:space="preserve">3.1 Standard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3600"/>
        <w:gridCol w:w="2520"/>
      </w:tblGrid>
      <w:tr>
        <w:trPr>
          <w:tblHeader/>
        </w:trPr>
        <w:tc>
          <w:tcPr>
            <w:shd w:fill="1A3A5C" w:val="clear"/>
            <w:tcMar>
              <w:top w:type="dxa" w:w="60"/>
              <w:left w:type="dxa" w:w="80"/>
              <w:bottom w:type="dxa" w:w="60"/>
              <w:right w:type="dxa" w:w="80"/>
            </w:tcMar>
          </w:tcPr>
          <w:p>
            <w:r>
              <w:rPr>
                <w:b/>
                <w:bCs/>
                <w:color w:val="FFFFFF"/>
                <w:sz w:val="18"/>
                <w:szCs w:val="18"/>
              </w:rPr>
              <w:t xml:space="preserve">Stage</w:t>
            </w:r>
          </w:p>
        </w:tc>
        <w:tc>
          <w:tcPr>
            <w:shd w:fill="1A3A5C" w:val="clear"/>
            <w:tcMar>
              <w:top w:type="dxa" w:w="60"/>
              <w:left w:type="dxa" w:w="80"/>
              <w:bottom w:type="dxa" w:w="60"/>
              <w:right w:type="dxa" w:w="80"/>
            </w:tcMar>
          </w:tcPr>
          <w:p>
            <w:r>
              <w:rPr>
                <w:b/>
                <w:bCs/>
                <w:color w:val="FFFFFF"/>
                <w:sz w:val="18"/>
                <w:szCs w:val="18"/>
              </w:rPr>
              <w:t xml:space="preserve">Format</w:t>
            </w:r>
          </w:p>
        </w:tc>
        <w:tc>
          <w:tcPr>
            <w:shd w:fill="1A3A5C" w:val="clear"/>
            <w:tcMar>
              <w:top w:type="dxa" w:w="60"/>
              <w:left w:type="dxa" w:w="80"/>
              <w:bottom w:type="dxa" w:w="60"/>
              <w:right w:type="dxa" w:w="80"/>
            </w:tcMar>
          </w:tcPr>
          <w:p>
            <w:r>
              <w:rPr>
                <w:b/>
                <w:bCs/>
                <w:color w:val="FFFFFF"/>
                <w:sz w:val="18"/>
                <w:szCs w:val="18"/>
              </w:rPr>
              <w:t xml:space="preserve">Conducted By</w:t>
            </w:r>
          </w:p>
        </w:tc>
        <w:tc>
          <w:tcPr>
            <w:shd w:fill="1A3A5C" w:val="clear"/>
            <w:tcMar>
              <w:top w:type="dxa" w:w="60"/>
              <w:left w:type="dxa" w:w="80"/>
              <w:bottom w:type="dxa" w:w="60"/>
              <w:right w:type="dxa" w:w="80"/>
            </w:tcMar>
          </w:tcPr>
          <w:p>
            <w:r>
              <w:rPr>
                <w:b/>
                <w:bCs/>
                <w:color w:val="FFFFFF"/>
                <w:sz w:val="18"/>
                <w:szCs w:val="18"/>
              </w:rPr>
              <w:t xml:space="preserve">Typical Duration</w:t>
            </w:r>
          </w:p>
        </w:tc>
      </w:tr>
      <w:tr>
        <w:tc>
          <w:tcPr>
            <w:shd w:fill="FFFFFF" w:val="clear"/>
            <w:tcMar>
              <w:top w:type="dxa" w:w="60"/>
              <w:left w:type="dxa" w:w="80"/>
              <w:bottom w:type="dxa" w:w="60"/>
              <w:right w:type="dxa" w:w="80"/>
            </w:tcMar>
          </w:tcPr>
          <w:p>
            <w:r>
              <w:rPr>
                <w:sz w:val="18"/>
                <w:szCs w:val="18"/>
              </w:rPr>
              <w:t xml:space="preserve">1</w:t>
            </w:r>
          </w:p>
        </w:tc>
        <w:tc>
          <w:tcPr>
            <w:shd w:fill="FFFFFF" w:val="clear"/>
            <w:tcMar>
              <w:top w:type="dxa" w:w="60"/>
              <w:left w:type="dxa" w:w="80"/>
              <w:bottom w:type="dxa" w:w="60"/>
              <w:right w:type="dxa" w:w="80"/>
            </w:tcMar>
          </w:tcPr>
          <w:p>
            <w:r>
              <w:rPr>
                <w:sz w:val="18"/>
                <w:szCs w:val="18"/>
              </w:rPr>
              <w:t xml:space="preserve">Recruiter Phone Screen</w:t>
            </w:r>
          </w:p>
        </w:tc>
        <w:tc>
          <w:tcPr>
            <w:shd w:fill="FFFFFF" w:val="clear"/>
            <w:tcMar>
              <w:top w:type="dxa" w:w="60"/>
              <w:left w:type="dxa" w:w="80"/>
              <w:bottom w:type="dxa" w:w="60"/>
              <w:right w:type="dxa" w:w="80"/>
            </w:tcMar>
          </w:tcPr>
          <w:p>
            <w:r>
              <w:rPr>
                <w:sz w:val="18"/>
                <w:szCs w:val="18"/>
              </w:rPr>
              <w:t xml:space="preserve">Recruiter</w:t>
            </w:r>
          </w:p>
        </w:tc>
        <w:tc>
          <w:tcPr>
            <w:shd w:fill="FFFFFF" w:val="clear"/>
            <w:tcMar>
              <w:top w:type="dxa" w:w="60"/>
              <w:left w:type="dxa" w:w="80"/>
              <w:bottom w:type="dxa" w:w="60"/>
              <w:right w:type="dxa" w:w="80"/>
            </w:tcMar>
          </w:tcPr>
          <w:p>
            <w:r>
              <w:rPr>
                <w:sz w:val="18"/>
                <w:szCs w:val="18"/>
              </w:rPr>
              <w:t xml:space="preserve">30 min</w:t>
            </w:r>
          </w:p>
        </w:tc>
      </w:tr>
      <w:tr>
        <w:tc>
          <w:tcPr>
            <w:shd w:fill="EBF2FA" w:val="clear"/>
            <w:tcMar>
              <w:top w:type="dxa" w:w="60"/>
              <w:left w:type="dxa" w:w="80"/>
              <w:bottom w:type="dxa" w:w="60"/>
              <w:right w:type="dxa" w:w="80"/>
            </w:tcMar>
          </w:tcPr>
          <w:p>
            <w:r>
              <w:rPr>
                <w:sz w:val="18"/>
                <w:szCs w:val="18"/>
              </w:rPr>
              <w:t xml:space="preserve">2</w:t>
            </w:r>
          </w:p>
        </w:tc>
        <w:tc>
          <w:tcPr>
            <w:shd w:fill="EBF2FA" w:val="clear"/>
            <w:tcMar>
              <w:top w:type="dxa" w:w="60"/>
              <w:left w:type="dxa" w:w="80"/>
              <w:bottom w:type="dxa" w:w="60"/>
              <w:right w:type="dxa" w:w="80"/>
            </w:tcMar>
          </w:tcPr>
          <w:p>
            <w:r>
              <w:rPr>
                <w:sz w:val="18"/>
                <w:szCs w:val="18"/>
              </w:rPr>
              <w:t xml:space="preserve">Hiring Manager Interview</w:t>
            </w:r>
          </w:p>
        </w:tc>
        <w:tc>
          <w:tcPr>
            <w:shd w:fill="EBF2FA" w:val="clear"/>
            <w:tcMar>
              <w:top w:type="dxa" w:w="60"/>
              <w:left w:type="dxa" w:w="80"/>
              <w:bottom w:type="dxa" w:w="60"/>
              <w:right w:type="dxa" w:w="80"/>
            </w:tcMar>
          </w:tcPr>
          <w:p>
            <w:r>
              <w:rPr>
                <w:sz w:val="18"/>
                <w:szCs w:val="18"/>
              </w:rPr>
              <w:t xml:space="preserve">Hiring Manager</w:t>
            </w:r>
          </w:p>
        </w:tc>
        <w:tc>
          <w:tcPr>
            <w:shd w:fill="EBF2FA" w:val="clear"/>
            <w:tcMar>
              <w:top w:type="dxa" w:w="60"/>
              <w:left w:type="dxa" w:w="80"/>
              <w:bottom w:type="dxa" w:w="60"/>
              <w:right w:type="dxa" w:w="80"/>
            </w:tcMar>
          </w:tcPr>
          <w:p>
            <w:r>
              <w:rPr>
                <w:sz w:val="18"/>
                <w:szCs w:val="18"/>
              </w:rPr>
              <w:t xml:space="preserve">45–60 min</w:t>
            </w:r>
          </w:p>
        </w:tc>
      </w:tr>
      <w:tr>
        <w:tc>
          <w:tcPr>
            <w:shd w:fill="FFFFFF" w:val="clear"/>
            <w:tcMar>
              <w:top w:type="dxa" w:w="60"/>
              <w:left w:type="dxa" w:w="80"/>
              <w:bottom w:type="dxa" w:w="60"/>
              <w:right w:type="dxa" w:w="80"/>
            </w:tcMar>
          </w:tcPr>
          <w:p>
            <w:r>
              <w:rPr>
                <w:sz w:val="18"/>
                <w:szCs w:val="18"/>
              </w:rPr>
              <w:t xml:space="preserve">3</w:t>
            </w:r>
          </w:p>
        </w:tc>
        <w:tc>
          <w:tcPr>
            <w:shd w:fill="FFFFFF" w:val="clear"/>
            <w:tcMar>
              <w:top w:type="dxa" w:w="60"/>
              <w:left w:type="dxa" w:w="80"/>
              <w:bottom w:type="dxa" w:w="60"/>
              <w:right w:type="dxa" w:w="80"/>
            </w:tcMar>
          </w:tcPr>
          <w:p>
            <w:r>
              <w:rPr>
                <w:sz w:val="18"/>
                <w:szCs w:val="18"/>
              </w:rPr>
              <w:t xml:space="preserve">Technical/Skills Assessment</w:t>
            </w:r>
          </w:p>
        </w:tc>
        <w:tc>
          <w:tcPr>
            <w:shd w:fill="FFFFFF" w:val="clear"/>
            <w:tcMar>
              <w:top w:type="dxa" w:w="60"/>
              <w:left w:type="dxa" w:w="80"/>
              <w:bottom w:type="dxa" w:w="60"/>
              <w:right w:type="dxa" w:w="80"/>
            </w:tcMar>
          </w:tcPr>
          <w:p>
            <w:r>
              <w:rPr>
                <w:sz w:val="18"/>
                <w:szCs w:val="18"/>
              </w:rPr>
              <w:t xml:space="preserve">Technical Lead</w:t>
            </w:r>
          </w:p>
        </w:tc>
        <w:tc>
          <w:tcPr>
            <w:shd w:fill="FFFFFF" w:val="clear"/>
            <w:tcMar>
              <w:top w:type="dxa" w:w="60"/>
              <w:left w:type="dxa" w:w="80"/>
              <w:bottom w:type="dxa" w:w="60"/>
              <w:right w:type="dxa" w:w="80"/>
            </w:tcMar>
          </w:tcPr>
          <w:p>
            <w:r>
              <w:rPr>
                <w:sz w:val="18"/>
                <w:szCs w:val="18"/>
              </w:rPr>
              <w:t xml:space="preserve">60–90 min</w:t>
            </w:r>
          </w:p>
        </w:tc>
      </w:tr>
      <w:tr>
        <w:tc>
          <w:tcPr>
            <w:shd w:fill="EBF2FA" w:val="clear"/>
            <w:tcMar>
              <w:top w:type="dxa" w:w="60"/>
              <w:left w:type="dxa" w:w="80"/>
              <w:bottom w:type="dxa" w:w="60"/>
              <w:right w:type="dxa" w:w="80"/>
            </w:tcMar>
          </w:tcPr>
          <w:p>
            <w:r>
              <w:rPr>
                <w:sz w:val="18"/>
                <w:szCs w:val="18"/>
              </w:rPr>
              <w:t xml:space="preserve">4</w:t>
            </w:r>
          </w:p>
        </w:tc>
        <w:tc>
          <w:tcPr>
            <w:shd w:fill="EBF2FA" w:val="clear"/>
            <w:tcMar>
              <w:top w:type="dxa" w:w="60"/>
              <w:left w:type="dxa" w:w="80"/>
              <w:bottom w:type="dxa" w:w="60"/>
              <w:right w:type="dxa" w:w="80"/>
            </w:tcMar>
          </w:tcPr>
          <w:p>
            <w:r>
              <w:rPr>
                <w:sz w:val="18"/>
                <w:szCs w:val="18"/>
              </w:rPr>
              <w:t xml:space="preserve">Panel Interview</w:t>
            </w:r>
          </w:p>
        </w:tc>
        <w:tc>
          <w:tcPr>
            <w:shd w:fill="EBF2FA" w:val="clear"/>
            <w:tcMar>
              <w:top w:type="dxa" w:w="60"/>
              <w:left w:type="dxa" w:w="80"/>
              <w:bottom w:type="dxa" w:w="60"/>
              <w:right w:type="dxa" w:w="80"/>
            </w:tcMar>
          </w:tcPr>
          <w:p>
            <w:r>
              <w:rPr>
                <w:sz w:val="18"/>
                <w:szCs w:val="18"/>
              </w:rPr>
              <w:t xml:space="preserve">2–4 interviewers</w:t>
            </w:r>
          </w:p>
        </w:tc>
        <w:tc>
          <w:tcPr>
            <w:shd w:fill="EBF2FA" w:val="clear"/>
            <w:tcMar>
              <w:top w:type="dxa" w:w="60"/>
              <w:left w:type="dxa" w:w="80"/>
              <w:bottom w:type="dxa" w:w="60"/>
              <w:right w:type="dxa" w:w="80"/>
            </w:tcMar>
          </w:tcPr>
          <w:p>
            <w:r>
              <w:rPr>
                <w:sz w:val="18"/>
                <w:szCs w:val="18"/>
              </w:rPr>
              <w:t xml:space="preserve">60–90 min</w:t>
            </w:r>
          </w:p>
        </w:tc>
      </w:tr>
      <w:tr>
        <w:tc>
          <w:tcPr>
            <w:shd w:fill="FFFFFF" w:val="clear"/>
            <w:tcMar>
              <w:top w:type="dxa" w:w="60"/>
              <w:left w:type="dxa" w:w="80"/>
              <w:bottom w:type="dxa" w:w="60"/>
              <w:right w:type="dxa" w:w="80"/>
            </w:tcMar>
          </w:tcPr>
          <w:p>
            <w:r>
              <w:rPr>
                <w:sz w:val="18"/>
                <w:szCs w:val="18"/>
              </w:rPr>
              <w:t xml:space="preserve">5</w:t>
            </w:r>
          </w:p>
        </w:tc>
        <w:tc>
          <w:tcPr>
            <w:shd w:fill="FFFFFF" w:val="clear"/>
            <w:tcMar>
              <w:top w:type="dxa" w:w="60"/>
              <w:left w:type="dxa" w:w="80"/>
              <w:bottom w:type="dxa" w:w="60"/>
              <w:right w:type="dxa" w:w="80"/>
            </w:tcMar>
          </w:tcPr>
          <w:p>
            <w:r>
              <w:rPr>
                <w:sz w:val="18"/>
                <w:szCs w:val="18"/>
              </w:rPr>
              <w:t xml:space="preserve">Executive Interview (Grade 10+)</w:t>
            </w:r>
          </w:p>
        </w:tc>
        <w:tc>
          <w:tcPr>
            <w:shd w:fill="FFFFFF" w:val="clear"/>
            <w:tcMar>
              <w:top w:type="dxa" w:w="60"/>
              <w:left w:type="dxa" w:w="80"/>
              <w:bottom w:type="dxa" w:w="60"/>
              <w:right w:type="dxa" w:w="80"/>
            </w:tcMar>
          </w:tcPr>
          <w:p>
            <w:r>
              <w:rPr>
                <w:sz w:val="18"/>
                <w:szCs w:val="18"/>
              </w:rPr>
              <w:t xml:space="preserve">VP or above</w:t>
            </w:r>
          </w:p>
        </w:tc>
        <w:tc>
          <w:tcPr>
            <w:shd w:fill="FFFFFF" w:val="clear"/>
            <w:tcMar>
              <w:top w:type="dxa" w:w="60"/>
              <w:left w:type="dxa" w:w="80"/>
              <w:bottom w:type="dxa" w:w="60"/>
              <w:right w:type="dxa" w:w="80"/>
            </w:tcMar>
          </w:tcPr>
          <w:p>
            <w:r>
              <w:rPr>
                <w:sz w:val="18"/>
                <w:szCs w:val="18"/>
              </w:rPr>
              <w:t xml:space="preserve">30–45 min</w:t>
            </w:r>
          </w:p>
        </w:tc>
      </w:tr>
    </w:tbl>
    <w:p>
      <w:pPr>
        <w:spacing w:after="120"/>
      </w:pPr>
    </w:p>
    <w:p>
      <w:pPr>
        <w:pStyle w:val="Heading2"/>
        <w:spacing w:after="60" w:before="160"/>
      </w:pPr>
      <w:r>
        <w:rPr>
          <w:b/>
          <w:bCs/>
          <w:color w:val="2C5F8A"/>
          <w:sz w:val="22"/>
          <w:szCs w:val="22"/>
        </w:rPr>
        <w:t xml:space="preserve">3.2 Interview Standards</w:t>
      </w:r>
    </w:p>
    <w:p>
      <w:pPr>
        <w:spacing w:after="100"/>
        <w:jc w:val="both"/>
      </w:pPr>
      <w:r>
        <w:rPr>
          <w:sz w:val="20"/>
          <w:szCs w:val="20"/>
        </w:rPr>
        <w:t xml:space="preserve">All interview questions must be job-related and legally compliant. Interviewers may not ask about age, marital status, national origin, religion, disability, pregnancy, or other protected characteristics. All interviewers must complete the Contoso Corp Interviewer Training module in Workday before participating in panels. Structured interview guides (scorecards) are required for all panel stages.</w:t>
      </w:r>
    </w:p>
    <w:p>
      <w:pPr>
        <w:pStyle w:val="Heading1"/>
        <w:spacing w:after="80" w:before="240"/>
      </w:pPr>
      <w:r>
        <w:rPr>
          <w:b/>
          <w:bCs/>
          <w:color w:val="1A3A5C"/>
          <w:sz w:val="26"/>
          <w:szCs w:val="26"/>
        </w:rPr>
        <w:t xml:space="preserve">4. Offer Process</w:t>
      </w:r>
    </w:p>
    <w:p>
      <w:pPr>
        <w:spacing w:after="100"/>
        <w:jc w:val="both"/>
      </w:pPr>
      <w:r>
        <w:rPr>
          <w:sz w:val="20"/>
          <w:szCs w:val="20"/>
        </w:rPr>
        <w:t xml:space="preserve">Verbal offers require recruiter and hiring manager alignment before being extended. Written offers must be issued via Workday and include: job title, start date, base salary, bonus target, equity grant (if applicable), benefits summary link, and offer expiration date (minimum 5 business days). All offers are contingent on background check and, for certain roles, drug screen and reference checks.</w:t>
      </w:r>
    </w:p>
    <w:p>
      <w:pPr>
        <w:pStyle w:val="Heading1"/>
        <w:spacing w:after="80" w:before="240"/>
      </w:pPr>
      <w:r>
        <w:rPr>
          <w:b/>
          <w:bCs/>
          <w:color w:val="1A3A5C"/>
          <w:sz w:val="26"/>
          <w:szCs w:val="26"/>
        </w:rPr>
        <w:t xml:space="preserve">5. Referral Program</w:t>
      </w:r>
    </w:p>
    <w:p>
      <w:pPr>
        <w:spacing w:after="100"/>
        <w:jc w:val="both"/>
      </w:pPr>
      <w:r>
        <w:rPr>
          <w:sz w:val="20"/>
          <w:szCs w:val="20"/>
        </w:rPr>
        <w:t xml:space="preserve">Contoso Corp's Employee Referral Program pays bonuses to employees who refer candidates who are hired and complete 90 days of employment:</w:t>
      </w:r>
    </w:p>
    <w:p>
      <w:pPr>
        <w:spacing w:after="80"/>
        <w:ind w:left="360"/>
      </w:pPr>
      <w:r>
        <w:rPr>
          <w:sz w:val="20"/>
          <w:szCs w:val="20"/>
        </w:rPr>
        <w:t xml:space="preserve">•  Standard roles (Grade 5–8): $2,000</w:t>
      </w:r>
    </w:p>
    <w:p>
      <w:pPr>
        <w:spacing w:after="80"/>
        <w:ind w:left="360"/>
      </w:pPr>
      <w:r>
        <w:rPr>
          <w:sz w:val="20"/>
          <w:szCs w:val="20"/>
        </w:rPr>
        <w:t xml:space="preserve">•  Senior/technical roles (Grade 9–11): $3,500</w:t>
      </w:r>
    </w:p>
    <w:p>
      <w:pPr>
        <w:spacing w:after="80"/>
        <w:ind w:left="360"/>
      </w:pPr>
      <w:r>
        <w:rPr>
          <w:sz w:val="20"/>
          <w:szCs w:val="20"/>
        </w:rPr>
        <w:t xml:space="preserve">•  Executive roles (Grade 12+): $5,000</w:t>
      </w:r>
    </w:p>
    <w:p>
      <w:pPr>
        <w:spacing w:after="80"/>
        <w:ind w:left="360"/>
      </w:pPr>
      <w:r>
        <w:rPr>
          <w:sz w:val="20"/>
          <w:szCs w:val="20"/>
        </w:rPr>
        <w:t xml:space="preserve">•  Hard-to-fill / diversity priority roles: 1.5x above rates</w:t>
      </w:r>
    </w:p>
    <w:p>
      <w:pPr>
        <w:spacing w:after="100"/>
        <w:jc w:val="both"/>
      </w:pPr>
      <w:r>
        <w:rPr>
          <w:sz w:val="20"/>
          <w:szCs w:val="20"/>
        </w:rPr>
        <w:t xml:space="preserve">Referrals must be submitted in Workday before or within 5 days of the candidate applying. Referrals from hiring managers for positions they control, or from employees during their notice period, are not eligible.</w:t>
      </w:r>
    </w:p>
    <w:p>
      <w:pPr>
        <w:pStyle w:val="Heading1"/>
        <w:spacing w:after="80" w:before="240"/>
      </w:pPr>
      <w:r>
        <w:rPr>
          <w:b/>
          <w:bCs/>
          <w:color w:val="1A3A5C"/>
          <w:sz w:val="26"/>
          <w:szCs w:val="26"/>
        </w:rPr>
        <w:t xml:space="preserve">6. Internal Mobility</w:t>
      </w:r>
    </w:p>
    <w:p>
      <w:pPr>
        <w:spacing w:after="100"/>
        <w:jc w:val="both"/>
      </w:pPr>
      <w:r>
        <w:rPr>
          <w:sz w:val="20"/>
          <w:szCs w:val="20"/>
        </w:rPr>
        <w:t xml:space="preserve">Contoso Corp strongly supports internal career development. Employees are eligible to apply for internal openings after completing 12 months in their current role (6 months for critical business needs with manager approval). Employees must notify their current manager within 5 business days of accepting an internal offer. Transfer effective dates will be mutually agreed, typically within 4–6 weeks.</w:t>
      </w:r>
    </w:p>
    <w:p>
      <w:pPr>
        <w:pStyle w:val="Heading1"/>
        <w:spacing w:after="80" w:before="240"/>
      </w:pPr>
      <w:r>
        <w:rPr>
          <w:b/>
          <w:bCs/>
          <w:color w:val="1A3A5C"/>
          <w:sz w:val="26"/>
          <w:szCs w:val="26"/>
        </w:rPr>
        <w:t xml:space="preserve">7. Equal Employment Compliance</w:t>
      </w:r>
    </w:p>
    <w:p>
      <w:pPr>
        <w:spacing w:after="100"/>
        <w:jc w:val="both"/>
      </w:pPr>
      <w:r>
        <w:rPr>
          <w:sz w:val="20"/>
          <w:szCs w:val="20"/>
        </w:rPr>
        <w:t xml:space="preserve">Contoso Corp is a federal contractor and maintains affirmative action programs for veterans and individuals with disabilities. All hiring decisions must be based solely on job-related qualifications. Any complaints of discriminatory hiring practices should be reported to HR, the Ethics Hotline, or the EEOC (eeoc.gov). Offer decisions are reviewed by HR for equity prior to issuance.</w:t>
      </w:r>
    </w:p>
    <w:p>
      <w:pPr>
        <w:spacing w:after="160"/>
      </w:pPr>
    </w:p>
    <w:p>
      <w:pPr>
        <w:pBdr>
          <w:bottom w:val="single" w:color="1A3A5C" w:sz="12"/>
        </w:pBdr>
        <w:spacing w:after="120"/>
      </w:pPr>
    </w:p>
    <w:p>
      <w:pPr>
        <w:jc w:val="center"/>
      </w:pPr>
      <w:r>
        <w:rPr>
          <w:color w:val="888888"/>
          <w:sz w:val="16"/>
          <w:szCs w:val="16"/>
        </w:rPr>
        <w:t xml:space="preserve">Contoso Corp Confidential  |  CON-HR-006  |  recruiting@contosocorp.com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2026-07-21T21:32:49.773Z</dcterms:created>
  <dcterms:modified xsi:type="dcterms:W3CDTF">2026-07-21T21:32:49.773Z</dcterms:modified>
</cp:coreProperties>
</file>

<file path=docProps/custom.xml><?xml version="1.0" encoding="utf-8"?>
<Properties xmlns="http://schemas.openxmlformats.org/officeDocument/2006/custom-properties" xmlns:vt="http://schemas.openxmlformats.org/officeDocument/2006/docPropsVTypes"/>
</file>