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A3A5C"/>
          <w:sz w:val="36"/>
          <w:szCs w:val="36"/>
        </w:rPr>
        <w:t xml:space="preserve">CONTOSO CORP</w:t>
      </w:r>
    </w:p>
    <w:p>
      <w:pPr>
        <w:spacing w:after="100"/>
        <w:jc w:val="center"/>
      </w:pPr>
      <w:r>
        <w:rPr>
          <w:b/>
          <w:bCs/>
          <w:color w:val="1A3A5C"/>
          <w:sz w:val="30"/>
          <w:szCs w:val="30"/>
        </w:rPr>
        <w:t xml:space="preserve">Flexible &amp; Remote Work Policy</w:t>
      </w:r>
    </w:p>
    <w:p>
      <w:pPr>
        <w:spacing w:after="100"/>
        <w:jc w:val="center"/>
      </w:pPr>
      <w:r>
        <w:rPr>
          <w:b w:val="false"/>
          <w:bCs w:val="false"/>
          <w:color w:val="1A3A5C"/>
          <w:sz w:val="22"/>
          <w:szCs w:val="22"/>
        </w:rPr>
        <w:t xml:space="preserve">Human Resources | Effective: March 1, 2024</w:t>
      </w:r>
    </w:p>
    <w:p>
      <w:pPr>
        <w:pBdr>
          <w:bottom w:val="single" w:color="1A3A5C" w:sz="12"/>
        </w:pBdr>
        <w:spacing w:after="120"/>
      </w:pP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1440"/>
        <w:gridCol w:w="3600"/>
      </w:tblGrid>
      <w:tr>
        <w:trPr>
          <w:tblHeader/>
        </w:trPr>
        <w:tc>
          <w:tcPr>
            <w:shd w:fill="1A3A5C" w:val="clear"/>
            <w:tcMar>
              <w:top w:type="dxa" w:w="60"/>
              <w:left w:type="dxa" w:w="80"/>
              <w:bottom w:type="dxa" w:w="60"/>
              <w:right w:type="dxa" w:w="80"/>
            </w:tcMar>
          </w:tcPr>
          <w:p>
            <w:r>
              <w:rPr>
                <w:b/>
                <w:bCs/>
                <w:color w:val="FFFFFF"/>
                <w:sz w:val="18"/>
                <w:szCs w:val="18"/>
              </w:rPr>
              <w:t xml:space="preserve">Policy ID</w:t>
            </w:r>
          </w:p>
        </w:tc>
        <w:tc>
          <w:tcPr>
            <w:shd w:fill="1A3A5C" w:val="clear"/>
            <w:tcMar>
              <w:top w:type="dxa" w:w="60"/>
              <w:left w:type="dxa" w:w="80"/>
              <w:bottom w:type="dxa" w:w="60"/>
              <w:right w:type="dxa" w:w="80"/>
            </w:tcMar>
          </w:tcPr>
          <w:p>
            <w:r>
              <w:rPr>
                <w:b/>
                <w:bCs/>
                <w:color w:val="FFFFFF"/>
                <w:sz w:val="18"/>
                <w:szCs w:val="18"/>
              </w:rPr>
              <w:t xml:space="preserve">CON-HR-009</w:t>
            </w:r>
          </w:p>
        </w:tc>
        <w:tc>
          <w:tcPr>
            <w:shd w:fill="1A3A5C" w:val="clear"/>
            <w:tcMar>
              <w:top w:type="dxa" w:w="60"/>
              <w:left w:type="dxa" w:w="80"/>
              <w:bottom w:type="dxa" w:w="60"/>
              <w:right w:type="dxa" w:w="80"/>
            </w:tcMar>
          </w:tcPr>
          <w:p>
            <w:r>
              <w:rPr>
                <w:b/>
                <w:bCs/>
                <w:color w:val="FFFFFF"/>
                <w:sz w:val="18"/>
                <w:szCs w:val="18"/>
              </w:rPr>
              <w:t xml:space="preserve">Effective Date</w:t>
            </w:r>
          </w:p>
        </w:tc>
        <w:tc>
          <w:tcPr>
            <w:shd w:fill="1A3A5C" w:val="clear"/>
            <w:tcMar>
              <w:top w:type="dxa" w:w="60"/>
              <w:left w:type="dxa" w:w="80"/>
              <w:bottom w:type="dxa" w:w="60"/>
              <w:right w:type="dxa" w:w="80"/>
            </w:tcMar>
          </w:tcPr>
          <w:p>
            <w:r>
              <w:rPr>
                <w:b/>
                <w:bCs/>
                <w:color w:val="FFFFFF"/>
                <w:sz w:val="18"/>
                <w:szCs w:val="18"/>
              </w:rPr>
              <w:t xml:space="preserve">March 1, 2024</w:t>
            </w:r>
          </w:p>
        </w:tc>
      </w:tr>
      <w:tr>
        <w:tc>
          <w:tcPr>
            <w:shd w:fill="FFFFFF" w:val="clear"/>
            <w:tcMar>
              <w:top w:type="dxa" w:w="60"/>
              <w:left w:type="dxa" w:w="80"/>
              <w:bottom w:type="dxa" w:w="60"/>
              <w:right w:type="dxa" w:w="80"/>
            </w:tcMar>
          </w:tcPr>
          <w:p>
            <w:r>
              <w:rPr>
                <w:sz w:val="18"/>
                <w:szCs w:val="18"/>
              </w:rPr>
              <w:t xml:space="preserve">Last Reviewed</w:t>
            </w:r>
          </w:p>
        </w:tc>
        <w:tc>
          <w:tcPr>
            <w:shd w:fill="FFFFFF" w:val="clear"/>
            <w:tcMar>
              <w:top w:type="dxa" w:w="60"/>
              <w:left w:type="dxa" w:w="80"/>
              <w:bottom w:type="dxa" w:w="60"/>
              <w:right w:type="dxa" w:w="80"/>
            </w:tcMar>
          </w:tcPr>
          <w:p>
            <w:r>
              <w:rPr>
                <w:sz w:val="18"/>
                <w:szCs w:val="18"/>
              </w:rPr>
              <w:t xml:space="preserve">February 2024</w:t>
            </w:r>
          </w:p>
        </w:tc>
        <w:tc>
          <w:tcPr>
            <w:shd w:fill="FFFFFF" w:val="clear"/>
            <w:tcMar>
              <w:top w:type="dxa" w:w="60"/>
              <w:left w:type="dxa" w:w="80"/>
              <w:bottom w:type="dxa" w:w="60"/>
              <w:right w:type="dxa" w:w="80"/>
            </w:tcMar>
          </w:tcPr>
          <w:p>
            <w:r>
              <w:rPr>
                <w:sz w:val="18"/>
                <w:szCs w:val="18"/>
              </w:rPr>
              <w:t xml:space="preserve">Policy Owner</w:t>
            </w:r>
          </w:p>
        </w:tc>
        <w:tc>
          <w:tcPr>
            <w:shd w:fill="FFFFFF" w:val="clear"/>
            <w:tcMar>
              <w:top w:type="dxa" w:w="60"/>
              <w:left w:type="dxa" w:w="80"/>
              <w:bottom w:type="dxa" w:w="60"/>
              <w:right w:type="dxa" w:w="80"/>
            </w:tcMar>
          </w:tcPr>
          <w:p>
            <w:r>
              <w:rPr>
                <w:sz w:val="18"/>
                <w:szCs w:val="18"/>
              </w:rPr>
              <w:t xml:space="preserve">Chief People Officer</w:t>
            </w:r>
          </w:p>
        </w:tc>
      </w:tr>
    </w:tbl>
    <w:p>
      <w:pPr>
        <w:spacing w:after="160"/>
      </w:pPr>
    </w:p>
    <w:p>
      <w:pPr>
        <w:pStyle w:val="Heading1"/>
        <w:spacing w:after="80" w:before="240"/>
      </w:pPr>
      <w:r>
        <w:rPr>
          <w:b/>
          <w:bCs/>
          <w:color w:val="1A3A5C"/>
          <w:sz w:val="26"/>
          <w:szCs w:val="26"/>
        </w:rPr>
        <w:t xml:space="preserve">1. Purpose</w:t>
      </w:r>
    </w:p>
    <w:p>
      <w:pPr>
        <w:spacing w:after="100"/>
        <w:jc w:val="both"/>
      </w:pPr>
      <w:r>
        <w:rPr>
          <w:sz w:val="20"/>
          <w:szCs w:val="20"/>
        </w:rPr>
        <w:t xml:space="preserve">Contoso Corp recognizes that flexible work arrangements can improve employee well-being, productivity, and talent retention while maintaining the collaboration and culture that drive our success. This policy establishes guidelines for employees working remotely on a regular or ad-hoc basis.</w:t>
      </w:r>
    </w:p>
    <w:p>
      <w:pPr>
        <w:pStyle w:val="Heading1"/>
        <w:spacing w:after="80" w:before="240"/>
      </w:pPr>
      <w:r>
        <w:rPr>
          <w:b/>
          <w:bCs/>
          <w:color w:val="1A3A5C"/>
          <w:sz w:val="26"/>
          <w:szCs w:val="26"/>
        </w:rPr>
        <w:t xml:space="preserve">2. Eligibility</w:t>
      </w:r>
    </w:p>
    <w:p>
      <w:pPr>
        <w:spacing w:after="100"/>
        <w:jc w:val="both"/>
      </w:pPr>
      <w:r>
        <w:rPr>
          <w:sz w:val="20"/>
          <w:szCs w:val="20"/>
        </w:rPr>
        <w:t xml:space="preserve">Regular full-time and part-time employees who have completed their 90-day introductory period are eligible for remote work arrangements, subject to role requirements and manager approval. Certain roles — including those in production facilities, customer-facing service centers, or roles requiring secure on-site access — may not be eligible. Employees on an active PIP are not eligible for expanded remote work.</w:t>
      </w:r>
    </w:p>
    <w:p>
      <w:pPr>
        <w:pStyle w:val="Heading1"/>
        <w:spacing w:after="80" w:before="240"/>
      </w:pPr>
      <w:r>
        <w:rPr>
          <w:b/>
          <w:bCs/>
          <w:color w:val="1A3A5C"/>
          <w:sz w:val="26"/>
          <w:szCs w:val="26"/>
        </w:rPr>
        <w:t xml:space="preserve">3. Work Arrangement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4680"/>
      </w:tblGrid>
      <w:tr>
        <w:trPr>
          <w:tblHeader/>
        </w:trPr>
        <w:tc>
          <w:tcPr>
            <w:shd w:fill="1A3A5C" w:val="clear"/>
            <w:tcMar>
              <w:top w:type="dxa" w:w="60"/>
              <w:left w:type="dxa" w:w="80"/>
              <w:bottom w:type="dxa" w:w="60"/>
              <w:right w:type="dxa" w:w="80"/>
            </w:tcMar>
          </w:tcPr>
          <w:p>
            <w:r>
              <w:rPr>
                <w:b/>
                <w:bCs/>
                <w:color w:val="FFFFFF"/>
                <w:sz w:val="18"/>
                <w:szCs w:val="18"/>
              </w:rPr>
              <w:t xml:space="preserve">Arrangement</w:t>
            </w:r>
          </w:p>
        </w:tc>
        <w:tc>
          <w:tcPr>
            <w:shd w:fill="1A3A5C" w:val="clear"/>
            <w:tcMar>
              <w:top w:type="dxa" w:w="60"/>
              <w:left w:type="dxa" w:w="80"/>
              <w:bottom w:type="dxa" w:w="60"/>
              <w:right w:type="dxa" w:w="80"/>
            </w:tcMar>
          </w:tcPr>
          <w:p>
            <w:r>
              <w:rPr>
                <w:b/>
                <w:bCs/>
                <w:color w:val="FFFFFF"/>
                <w:sz w:val="18"/>
                <w:szCs w:val="18"/>
              </w:rPr>
              <w:t xml:space="preserve">In-Office Requirement</w:t>
            </w:r>
          </w:p>
        </w:tc>
        <w:tc>
          <w:tcPr>
            <w:shd w:fill="1A3A5C" w:val="clear"/>
            <w:tcMar>
              <w:top w:type="dxa" w:w="60"/>
              <w:left w:type="dxa" w:w="80"/>
              <w:bottom w:type="dxa" w:w="60"/>
              <w:right w:type="dxa" w:w="80"/>
            </w:tcMar>
          </w:tcPr>
          <w:p>
            <w:r>
              <w:rPr>
                <w:b/>
                <w:bCs/>
                <w:color w:val="FFFFFF"/>
                <w:sz w:val="18"/>
                <w:szCs w:val="18"/>
              </w:rPr>
              <w:t xml:space="preserve">Approval Required</w:t>
            </w:r>
          </w:p>
        </w:tc>
      </w:tr>
      <w:tr>
        <w:tc>
          <w:tcPr>
            <w:shd w:fill="FFFFFF" w:val="clear"/>
            <w:tcMar>
              <w:top w:type="dxa" w:w="60"/>
              <w:left w:type="dxa" w:w="80"/>
              <w:bottom w:type="dxa" w:w="60"/>
              <w:right w:type="dxa" w:w="80"/>
            </w:tcMar>
          </w:tcPr>
          <w:p>
            <w:r>
              <w:rPr>
                <w:sz w:val="18"/>
                <w:szCs w:val="18"/>
              </w:rPr>
              <w:t xml:space="preserve">Hybrid Standard</w:t>
            </w:r>
          </w:p>
        </w:tc>
        <w:tc>
          <w:tcPr>
            <w:shd w:fill="FFFFFF" w:val="clear"/>
            <w:tcMar>
              <w:top w:type="dxa" w:w="60"/>
              <w:left w:type="dxa" w:w="80"/>
              <w:bottom w:type="dxa" w:w="60"/>
              <w:right w:type="dxa" w:w="80"/>
            </w:tcMar>
          </w:tcPr>
          <w:p>
            <w:r>
              <w:rPr>
                <w:sz w:val="18"/>
                <w:szCs w:val="18"/>
              </w:rPr>
              <w:t xml:space="preserve">3 days/week on-site</w:t>
            </w:r>
          </w:p>
        </w:tc>
        <w:tc>
          <w:tcPr>
            <w:shd w:fill="FFFFFF" w:val="clear"/>
            <w:tcMar>
              <w:top w:type="dxa" w:w="60"/>
              <w:left w:type="dxa" w:w="80"/>
              <w:bottom w:type="dxa" w:w="60"/>
              <w:right w:type="dxa" w:w="80"/>
            </w:tcMar>
          </w:tcPr>
          <w:p>
            <w:r>
              <w:rPr>
                <w:sz w:val="18"/>
                <w:szCs w:val="18"/>
              </w:rPr>
              <w:t xml:space="preserve">Manager</w:t>
            </w:r>
          </w:p>
        </w:tc>
      </w:tr>
      <w:tr>
        <w:tc>
          <w:tcPr>
            <w:shd w:fill="EBF2FA" w:val="clear"/>
            <w:tcMar>
              <w:top w:type="dxa" w:w="60"/>
              <w:left w:type="dxa" w:w="80"/>
              <w:bottom w:type="dxa" w:w="60"/>
              <w:right w:type="dxa" w:w="80"/>
            </w:tcMar>
          </w:tcPr>
          <w:p>
            <w:r>
              <w:rPr>
                <w:sz w:val="18"/>
                <w:szCs w:val="18"/>
              </w:rPr>
              <w:t xml:space="preserve">Hybrid Flex</w:t>
            </w:r>
          </w:p>
        </w:tc>
        <w:tc>
          <w:tcPr>
            <w:shd w:fill="EBF2FA" w:val="clear"/>
            <w:tcMar>
              <w:top w:type="dxa" w:w="60"/>
              <w:left w:type="dxa" w:w="80"/>
              <w:bottom w:type="dxa" w:w="60"/>
              <w:right w:type="dxa" w:w="80"/>
            </w:tcMar>
          </w:tcPr>
          <w:p>
            <w:r>
              <w:rPr>
                <w:sz w:val="18"/>
                <w:szCs w:val="18"/>
              </w:rPr>
              <w:t xml:space="preserve">1–2 days/week on-site</w:t>
            </w:r>
          </w:p>
        </w:tc>
        <w:tc>
          <w:tcPr>
            <w:shd w:fill="EBF2FA" w:val="clear"/>
            <w:tcMar>
              <w:top w:type="dxa" w:w="60"/>
              <w:left w:type="dxa" w:w="80"/>
              <w:bottom w:type="dxa" w:w="60"/>
              <w:right w:type="dxa" w:w="80"/>
            </w:tcMar>
          </w:tcPr>
          <w:p>
            <w:r>
              <w:rPr>
                <w:sz w:val="18"/>
                <w:szCs w:val="18"/>
              </w:rPr>
              <w:t xml:space="preserve">Manager + HR</w:t>
            </w:r>
          </w:p>
        </w:tc>
      </w:tr>
      <w:tr>
        <w:tc>
          <w:tcPr>
            <w:shd w:fill="FFFFFF" w:val="clear"/>
            <w:tcMar>
              <w:top w:type="dxa" w:w="60"/>
              <w:left w:type="dxa" w:w="80"/>
              <w:bottom w:type="dxa" w:w="60"/>
              <w:right w:type="dxa" w:w="80"/>
            </w:tcMar>
          </w:tcPr>
          <w:p>
            <w:r>
              <w:rPr>
                <w:sz w:val="18"/>
                <w:szCs w:val="18"/>
              </w:rPr>
              <w:t xml:space="preserve">Fully Remote (domestic)</w:t>
            </w:r>
          </w:p>
        </w:tc>
        <w:tc>
          <w:tcPr>
            <w:shd w:fill="FFFFFF" w:val="clear"/>
            <w:tcMar>
              <w:top w:type="dxa" w:w="60"/>
              <w:left w:type="dxa" w:w="80"/>
              <w:bottom w:type="dxa" w:w="60"/>
              <w:right w:type="dxa" w:w="80"/>
            </w:tcMar>
          </w:tcPr>
          <w:p>
            <w:r>
              <w:rPr>
                <w:sz w:val="18"/>
                <w:szCs w:val="18"/>
              </w:rPr>
              <w:t xml:space="preserve">Quarterly in-person meetings</w:t>
            </w:r>
          </w:p>
        </w:tc>
        <w:tc>
          <w:tcPr>
            <w:shd w:fill="FFFFFF" w:val="clear"/>
            <w:tcMar>
              <w:top w:type="dxa" w:w="60"/>
              <w:left w:type="dxa" w:w="80"/>
              <w:bottom w:type="dxa" w:w="60"/>
              <w:right w:type="dxa" w:w="80"/>
            </w:tcMar>
          </w:tcPr>
          <w:p>
            <w:r>
              <w:rPr>
                <w:sz w:val="18"/>
                <w:szCs w:val="18"/>
              </w:rPr>
              <w:t xml:space="preserve">Manager + VP + HR</w:t>
            </w:r>
          </w:p>
        </w:tc>
      </w:tr>
      <w:tr>
        <w:tc>
          <w:tcPr>
            <w:shd w:fill="EBF2FA" w:val="clear"/>
            <w:tcMar>
              <w:top w:type="dxa" w:w="60"/>
              <w:left w:type="dxa" w:w="80"/>
              <w:bottom w:type="dxa" w:w="60"/>
              <w:right w:type="dxa" w:w="80"/>
            </w:tcMar>
          </w:tcPr>
          <w:p>
            <w:r>
              <w:rPr>
                <w:sz w:val="18"/>
                <w:szCs w:val="18"/>
              </w:rPr>
              <w:t xml:space="preserve">Fully Remote (international)</w:t>
            </w:r>
          </w:p>
        </w:tc>
        <w:tc>
          <w:tcPr>
            <w:shd w:fill="EBF2FA" w:val="clear"/>
            <w:tcMar>
              <w:top w:type="dxa" w:w="60"/>
              <w:left w:type="dxa" w:w="80"/>
              <w:bottom w:type="dxa" w:w="60"/>
              <w:right w:type="dxa" w:w="80"/>
            </w:tcMar>
          </w:tcPr>
          <w:p>
            <w:r>
              <w:rPr>
                <w:sz w:val="18"/>
                <w:szCs w:val="18"/>
              </w:rPr>
              <w:t xml:space="preserve">Bi-annual in-person meetings</w:t>
            </w:r>
          </w:p>
        </w:tc>
        <w:tc>
          <w:tcPr>
            <w:shd w:fill="EBF2FA" w:val="clear"/>
            <w:tcMar>
              <w:top w:type="dxa" w:w="60"/>
              <w:left w:type="dxa" w:w="80"/>
              <w:bottom w:type="dxa" w:w="60"/>
              <w:right w:type="dxa" w:w="80"/>
            </w:tcMar>
          </w:tcPr>
          <w:p>
            <w:r>
              <w:rPr>
                <w:sz w:val="18"/>
                <w:szCs w:val="18"/>
              </w:rPr>
              <w:t xml:space="preserve">Manager + VP + CHRO + Legal</w:t>
            </w:r>
          </w:p>
        </w:tc>
      </w:tr>
    </w:tbl>
    <w:p>
      <w:pPr>
        <w:spacing w:after="120"/>
      </w:pPr>
    </w:p>
    <w:p>
      <w:pPr>
        <w:pStyle w:val="Heading1"/>
        <w:spacing w:after="80" w:before="240"/>
      </w:pPr>
      <w:r>
        <w:rPr>
          <w:b/>
          <w:bCs/>
          <w:color w:val="1A3A5C"/>
          <w:sz w:val="26"/>
          <w:szCs w:val="26"/>
        </w:rPr>
        <w:t xml:space="preserve">4. Home Office Requirements</w:t>
      </w:r>
    </w:p>
    <w:p>
      <w:pPr>
        <w:spacing w:after="100"/>
        <w:jc w:val="both"/>
      </w:pPr>
      <w:r>
        <w:rPr>
          <w:sz w:val="20"/>
          <w:szCs w:val="20"/>
        </w:rPr>
        <w:t xml:space="preserve">Employees working remotely are responsible for maintaining a safe, professional, and productive home work environment. Requirements include:</w:t>
      </w:r>
    </w:p>
    <w:p>
      <w:pPr>
        <w:spacing w:after="80"/>
        <w:ind w:left="360"/>
      </w:pPr>
      <w:r>
        <w:rPr>
          <w:sz w:val="20"/>
          <w:szCs w:val="20"/>
        </w:rPr>
        <w:t xml:space="preserve">•  A dedicated, private workspace with a door or reasonable separation from household activity during work hours.</w:t>
      </w:r>
    </w:p>
    <w:p>
      <w:pPr>
        <w:spacing w:after="80"/>
        <w:ind w:left="360"/>
      </w:pPr>
      <w:r>
        <w:rPr>
          <w:sz w:val="20"/>
          <w:szCs w:val="20"/>
        </w:rPr>
        <w:t xml:space="preserve">•  Reliable high-speed internet connection (minimum 25 Mbps download / 10 Mbps upload).</w:t>
      </w:r>
    </w:p>
    <w:p>
      <w:pPr>
        <w:spacing w:after="80"/>
        <w:ind w:left="360"/>
      </w:pPr>
      <w:r>
        <w:rPr>
          <w:sz w:val="20"/>
          <w:szCs w:val="20"/>
        </w:rPr>
        <w:t xml:space="preserve">•  A background appropriate for video calls (physical or virtual background is acceptable).</w:t>
      </w:r>
    </w:p>
    <w:p>
      <w:pPr>
        <w:spacing w:after="80"/>
        <w:ind w:left="360"/>
      </w:pPr>
      <w:r>
        <w:rPr>
          <w:sz w:val="20"/>
          <w:szCs w:val="20"/>
        </w:rPr>
        <w:t xml:space="preserve">•  All Contoso Corp IT security requirements must be met at all times (see CON-IT-001).</w:t>
      </w:r>
    </w:p>
    <w:p>
      <w:pPr>
        <w:spacing w:after="100"/>
        <w:jc w:val="both"/>
      </w:pPr>
      <w:r>
        <w:rPr>
          <w:sz w:val="20"/>
          <w:szCs w:val="20"/>
        </w:rPr>
        <w:t xml:space="preserve">Contoso Corp will provide a one-time home office setup stipend of $750 for approved fully remote employees (taxable). Hybrid employees may request ergonomic equipment through the IT portal.</w:t>
      </w:r>
    </w:p>
    <w:p>
      <w:pPr>
        <w:pStyle w:val="Heading1"/>
        <w:spacing w:after="80" w:before="240"/>
      </w:pPr>
      <w:r>
        <w:rPr>
          <w:b/>
          <w:bCs/>
          <w:color w:val="1A3A5C"/>
          <w:sz w:val="26"/>
          <w:szCs w:val="26"/>
        </w:rPr>
        <w:t xml:space="preserve">5. Availability &amp; Responsiveness</w:t>
      </w:r>
    </w:p>
    <w:p>
      <w:pPr>
        <w:spacing w:after="100"/>
        <w:jc w:val="both"/>
      </w:pPr>
      <w:r>
        <w:rPr>
          <w:sz w:val="20"/>
          <w:szCs w:val="20"/>
        </w:rPr>
        <w:t xml:space="preserve">Remote employees are expected to maintain their standard working hours and be accessible via Microsoft Teams and email during those hours. Response time expectations:</w:t>
      </w:r>
    </w:p>
    <w:p>
      <w:pPr>
        <w:spacing w:after="80"/>
        <w:ind w:left="360"/>
      </w:pPr>
      <w:r>
        <w:rPr>
          <w:sz w:val="20"/>
          <w:szCs w:val="20"/>
        </w:rPr>
        <w:t xml:space="preserve">•  Teams messages: Within 2 hours during core hours (10 AM – 4 PM local time).</w:t>
      </w:r>
    </w:p>
    <w:p>
      <w:pPr>
        <w:spacing w:after="80"/>
        <w:ind w:left="360"/>
      </w:pPr>
      <w:r>
        <w:rPr>
          <w:sz w:val="20"/>
          <w:szCs w:val="20"/>
        </w:rPr>
        <w:t xml:space="preserve">•  Email: Within 4 hours during business hours; same-day response expected.</w:t>
      </w:r>
    </w:p>
    <w:p>
      <w:pPr>
        <w:spacing w:after="80"/>
        <w:ind w:left="360"/>
      </w:pPr>
      <w:r>
        <w:rPr>
          <w:sz w:val="20"/>
          <w:szCs w:val="20"/>
        </w:rPr>
        <w:t xml:space="preserve">•  Meeting attendance: Camera-on is encouraged for team meetings and client calls.</w:t>
      </w:r>
    </w:p>
    <w:p>
      <w:pPr>
        <w:spacing w:after="80"/>
        <w:ind w:left="360"/>
      </w:pPr>
      <w:r>
        <w:rPr>
          <w:sz w:val="20"/>
          <w:szCs w:val="20"/>
        </w:rPr>
        <w:t xml:space="preserve">•  Status updates: Employees must keep their Teams status current (available, busy, away) throughout the day.</w:t>
      </w:r>
    </w:p>
    <w:p>
      <w:pPr>
        <w:pStyle w:val="Heading1"/>
        <w:spacing w:after="80" w:before="240"/>
      </w:pPr>
      <w:r>
        <w:rPr>
          <w:b/>
          <w:bCs/>
          <w:color w:val="1A3A5C"/>
          <w:sz w:val="26"/>
          <w:szCs w:val="26"/>
        </w:rPr>
        <w:t xml:space="preserve">6. Core Collaboration Hours</w:t>
      </w:r>
    </w:p>
    <w:p>
      <w:pPr>
        <w:spacing w:after="100"/>
        <w:jc w:val="both"/>
      </w:pPr>
      <w:r>
        <w:rPr>
          <w:sz w:val="20"/>
          <w:szCs w:val="20"/>
        </w:rPr>
        <w:t xml:space="preserve">To ensure effective teamwork across time zones, all employees are expected to be available during Core Collaboration Hours: 10:00 AM – 3:00 PM in their primary work location time zone (or the team's designated time zone, as agreed with the manager). Meetings should be scheduled during these hours where feasible.</w:t>
      </w:r>
    </w:p>
    <w:p>
      <w:pPr>
        <w:pStyle w:val="Heading1"/>
        <w:spacing w:after="80" w:before="240"/>
      </w:pPr>
      <w:r>
        <w:rPr>
          <w:b/>
          <w:bCs/>
          <w:color w:val="1A3A5C"/>
          <w:sz w:val="26"/>
          <w:szCs w:val="26"/>
        </w:rPr>
        <w:t xml:space="preserve">7. Data Security &amp; Privacy When Remote</w:t>
      </w:r>
    </w:p>
    <w:p>
      <w:pPr>
        <w:spacing w:after="100"/>
        <w:jc w:val="both"/>
      </w:pPr>
      <w:r>
        <w:rPr>
          <w:sz w:val="20"/>
          <w:szCs w:val="20"/>
        </w:rPr>
        <w:t xml:space="preserve">Remote workers must adhere to all requirements in the IT Acceptable Use Policy (CON-IT-001) and additionally:</w:t>
      </w:r>
    </w:p>
    <w:p>
      <w:pPr>
        <w:spacing w:after="80"/>
        <w:ind w:left="360"/>
      </w:pPr>
      <w:r>
        <w:rPr>
          <w:sz w:val="20"/>
          <w:szCs w:val="20"/>
        </w:rPr>
        <w:t xml:space="preserve">•  Connect to all Contoso Corp systems via VPN. No exceptions for sensitive data systems.</w:t>
      </w:r>
    </w:p>
    <w:p>
      <w:pPr>
        <w:spacing w:after="80"/>
        <w:ind w:left="360"/>
      </w:pPr>
      <w:r>
        <w:rPr>
          <w:sz w:val="20"/>
          <w:szCs w:val="20"/>
        </w:rPr>
        <w:t xml:space="preserve">•  Never work with confidential data in public spaces (cafes, airports, libraries) where screens could be observed. Use a privacy screen filter when traveling.</w:t>
      </w:r>
    </w:p>
    <w:p>
      <w:pPr>
        <w:spacing w:after="80"/>
        <w:ind w:left="360"/>
      </w:pPr>
      <w:r>
        <w:rPr>
          <w:sz w:val="20"/>
          <w:szCs w:val="20"/>
        </w:rPr>
        <w:t xml:space="preserve">•  Lock screens when stepping away even briefly; automatic lock must be set to 5 minutes for remote workers.</w:t>
      </w:r>
    </w:p>
    <w:p>
      <w:pPr>
        <w:spacing w:after="80"/>
        <w:ind w:left="360"/>
      </w:pPr>
      <w:r>
        <w:rPr>
          <w:sz w:val="20"/>
          <w:szCs w:val="20"/>
        </w:rPr>
        <w:t xml:space="preserve">•  Use only company-approved video conferencing platforms (Microsoft Teams, Zoom via company account).</w:t>
      </w:r>
    </w:p>
    <w:p>
      <w:pPr>
        <w:pStyle w:val="Heading1"/>
        <w:spacing w:after="80" w:before="240"/>
      </w:pPr>
      <w:r>
        <w:rPr>
          <w:b/>
          <w:bCs/>
          <w:color w:val="1A3A5C"/>
          <w:sz w:val="26"/>
          <w:szCs w:val="26"/>
        </w:rPr>
        <w:t xml:space="preserve">8. Equipment &amp; Expenses</w:t>
      </w:r>
    </w:p>
    <w:p>
      <w:pPr>
        <w:spacing w:after="100"/>
        <w:jc w:val="both"/>
      </w:pPr>
      <w:r>
        <w:rPr>
          <w:sz w:val="20"/>
          <w:szCs w:val="20"/>
        </w:rPr>
        <w:t xml:space="preserve">Contoso Corp provides standard equipment (laptop, headset, monitors if requested) to all employees, including remote workers. Employees are responsible for the safe custody and return of all company equipment. Consumables (ink, paper) are the employee's personal expense. Internet service costs are the employee's responsibility; the company does not reimburse home internet.</w:t>
      </w:r>
    </w:p>
    <w:p>
      <w:pPr>
        <w:pStyle w:val="Heading1"/>
        <w:spacing w:after="80" w:before="240"/>
      </w:pPr>
      <w:r>
        <w:rPr>
          <w:b/>
          <w:bCs/>
          <w:color w:val="1A3A5C"/>
          <w:sz w:val="26"/>
          <w:szCs w:val="26"/>
        </w:rPr>
        <w:t xml:space="preserve">9. Modification or Revocation</w:t>
      </w:r>
    </w:p>
    <w:p>
      <w:pPr>
        <w:spacing w:after="100"/>
        <w:jc w:val="both"/>
      </w:pPr>
      <w:r>
        <w:rPr>
          <w:sz w:val="20"/>
          <w:szCs w:val="20"/>
        </w:rPr>
        <w:t xml:space="preserve">Remote work arrangements are not a contractual entitlement. The company or manager may modify or revoke an arrangement with 2 weeks' notice, or immediately in the case of a policy violation, performance issue, or change in business need. Employees who move to a new state or country must notify HR at least 60 days in advance, as tax and legal implications may affect the arrangement's feasibility.</w:t>
      </w:r>
    </w:p>
    <w:p>
      <w:pPr>
        <w:spacing w:after="160"/>
      </w:pPr>
    </w:p>
    <w:p>
      <w:pPr>
        <w:pBdr>
          <w:bottom w:val="single" w:color="1A3A5C" w:sz="12"/>
        </w:pBdr>
        <w:spacing w:after="120"/>
      </w:pPr>
    </w:p>
    <w:p>
      <w:pPr>
        <w:jc w:val="center"/>
      </w:pPr>
      <w:r>
        <w:rPr>
          <w:color w:val="888888"/>
          <w:sz w:val="16"/>
          <w:szCs w:val="16"/>
        </w:rPr>
        <w:t xml:space="preserve">Contoso Corp Confidential  |  CON-HR-009  |  hr@contosocorp.com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2026-07-21T21:32:49.675Z</dcterms:created>
  <dcterms:modified xsi:type="dcterms:W3CDTF">2026-07-21T21:32:49.675Z</dcterms:modified>
</cp:coreProperties>
</file>

<file path=docProps/custom.xml><?xml version="1.0" encoding="utf-8"?>
<Properties xmlns="http://schemas.openxmlformats.org/officeDocument/2006/custom-properties" xmlns:vt="http://schemas.openxmlformats.org/officeDocument/2006/docPropsVTypes"/>
</file>