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36"/>
          <w:szCs w:val="36"/>
        </w:rPr>
        <w:t xml:space="preserve">CONTOSO CORP</w:t>
      </w:r>
    </w:p>
    <w:p>
      <w:pPr>
        <w:spacing w:after="100"/>
        <w:jc w:val="center"/>
      </w:pPr>
      <w:r>
        <w:rPr>
          <w:b/>
          <w:bCs/>
          <w:color w:val="1A3A5C"/>
          <w:sz w:val="30"/>
          <w:szCs w:val="30"/>
        </w:rPr>
        <w:t xml:space="preserve">Employee Data Privacy Policy</w:t>
      </w:r>
    </w:p>
    <w:p>
      <w:pPr>
        <w:spacing w:after="100"/>
        <w:jc w:val="center"/>
      </w:pPr>
      <w:r>
        <w:rPr>
          <w:b w:val="false"/>
          <w:bCs w:val="false"/>
          <w:color w:val="1A3A5C"/>
          <w:sz w:val="22"/>
          <w:szCs w:val="22"/>
        </w:rPr>
        <w:t xml:space="preserve">Legal &amp; Compliance | Effective: January 1, 2024</w:t>
      </w:r>
    </w:p>
    <w:p>
      <w:pPr>
        <w:pBdr>
          <w:bottom w:val="single" w:color="1A3A5C" w:sz="12"/>
        </w:pBd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shd w:fill="1A3A5C" w:val="clear"/>
            <w:tcMar>
              <w:top w:type="dxa" w:w="60"/>
              <w:left w:type="dxa" w:w="80"/>
              <w:bottom w:type="dxa" w:w="60"/>
              <w:right w:type="dxa" w:w="80"/>
            </w:tcMar>
          </w:tcPr>
          <w:p>
            <w:r>
              <w:rPr>
                <w:b/>
                <w:bCs/>
                <w:color w:val="FFFFFF"/>
                <w:sz w:val="18"/>
                <w:szCs w:val="18"/>
              </w:rPr>
              <w:t xml:space="preserve">Policy ID</w:t>
            </w:r>
          </w:p>
        </w:tc>
        <w:tc>
          <w:tcPr>
            <w:shd w:fill="1A3A5C" w:val="clear"/>
            <w:tcMar>
              <w:top w:type="dxa" w:w="60"/>
              <w:left w:type="dxa" w:w="80"/>
              <w:bottom w:type="dxa" w:w="60"/>
              <w:right w:type="dxa" w:w="80"/>
            </w:tcMar>
          </w:tcPr>
          <w:p>
            <w:r>
              <w:rPr>
                <w:b/>
                <w:bCs/>
                <w:color w:val="FFFFFF"/>
                <w:sz w:val="18"/>
                <w:szCs w:val="18"/>
              </w:rPr>
              <w:t xml:space="preserve">CON-IT-004</w:t>
            </w:r>
          </w:p>
        </w:tc>
        <w:tc>
          <w:tcPr>
            <w:shd w:fill="1A3A5C" w:val="clear"/>
            <w:tcMar>
              <w:top w:type="dxa" w:w="60"/>
              <w:left w:type="dxa" w:w="80"/>
              <w:bottom w:type="dxa" w:w="60"/>
              <w:right w:type="dxa" w:w="80"/>
            </w:tcMar>
          </w:tcPr>
          <w:p>
            <w:r>
              <w:rPr>
                <w:b/>
                <w:bCs/>
                <w:color w:val="FFFFFF"/>
                <w:sz w:val="18"/>
                <w:szCs w:val="18"/>
              </w:rPr>
              <w:t xml:space="preserve">Effective Date</w:t>
            </w:r>
          </w:p>
        </w:tc>
        <w:tc>
          <w:tcPr>
            <w:shd w:fill="1A3A5C" w:val="clear"/>
            <w:tcMar>
              <w:top w:type="dxa" w:w="60"/>
              <w:left w:type="dxa" w:w="80"/>
              <w:bottom w:type="dxa" w:w="60"/>
              <w:right w:type="dxa" w:w="80"/>
            </w:tcMar>
          </w:tcPr>
          <w:p>
            <w:r>
              <w:rPr>
                <w:b/>
                <w:bCs/>
                <w:color w:val="FFFFFF"/>
                <w:sz w:val="18"/>
                <w:szCs w:val="18"/>
              </w:rPr>
              <w:t xml:space="preserve">January 1, 2024</w:t>
            </w:r>
          </w:p>
        </w:tc>
      </w:tr>
      <w:tr>
        <w:tc>
          <w:tcPr>
            <w:shd w:fill="FFFFFF" w:val="clear"/>
            <w:tcMar>
              <w:top w:type="dxa" w:w="60"/>
              <w:left w:type="dxa" w:w="80"/>
              <w:bottom w:type="dxa" w:w="60"/>
              <w:right w:type="dxa" w:w="80"/>
            </w:tcMar>
          </w:tcPr>
          <w:p>
            <w:r>
              <w:rPr>
                <w:sz w:val="18"/>
                <w:szCs w:val="18"/>
              </w:rPr>
              <w:t xml:space="preserve">Last Reviewed</w:t>
            </w:r>
          </w:p>
        </w:tc>
        <w:tc>
          <w:tcPr>
            <w:shd w:fill="FFFFFF" w:val="clear"/>
            <w:tcMar>
              <w:top w:type="dxa" w:w="60"/>
              <w:left w:type="dxa" w:w="80"/>
              <w:bottom w:type="dxa" w:w="60"/>
              <w:right w:type="dxa" w:w="80"/>
            </w:tcMar>
          </w:tcPr>
          <w:p>
            <w:r>
              <w:rPr>
                <w:sz w:val="18"/>
                <w:szCs w:val="18"/>
              </w:rPr>
              <w:t xml:space="preserve">November 2023</w:t>
            </w:r>
          </w:p>
        </w:tc>
        <w:tc>
          <w:tcPr>
            <w:shd w:fill="FFFFFF" w:val="clear"/>
            <w:tcMar>
              <w:top w:type="dxa" w:w="60"/>
              <w:left w:type="dxa" w:w="80"/>
              <w:bottom w:type="dxa" w:w="60"/>
              <w:right w:type="dxa" w:w="80"/>
            </w:tcMar>
          </w:tcPr>
          <w:p>
            <w:r>
              <w:rPr>
                <w:sz w:val="18"/>
                <w:szCs w:val="18"/>
              </w:rPr>
              <w:t xml:space="preserve">Policy Owner</w:t>
            </w:r>
          </w:p>
        </w:tc>
        <w:tc>
          <w:tcPr>
            <w:shd w:fill="FFFFFF" w:val="clear"/>
            <w:tcMar>
              <w:top w:type="dxa" w:w="60"/>
              <w:left w:type="dxa" w:w="80"/>
              <w:bottom w:type="dxa" w:w="60"/>
              <w:right w:type="dxa" w:w="80"/>
            </w:tcMar>
          </w:tcPr>
          <w:p>
            <w:r>
              <w:rPr>
                <w:sz w:val="18"/>
                <w:szCs w:val="18"/>
              </w:rPr>
              <w:t xml:space="preserve">Chief Privacy Officer</w:t>
            </w:r>
          </w:p>
        </w:tc>
      </w:tr>
    </w:tbl>
    <w:p>
      <w:pPr>
        <w:spacing w:after="160"/>
      </w:pPr>
    </w:p>
    <w:p>
      <w:pPr>
        <w:pStyle w:val="Heading1"/>
        <w:spacing w:after="80" w:before="240"/>
      </w:pPr>
      <w:r>
        <w:rPr>
          <w:b/>
          <w:bCs/>
          <w:color w:val="1A3A5C"/>
          <w:sz w:val="26"/>
          <w:szCs w:val="26"/>
        </w:rPr>
        <w:t xml:space="preserve">1. Purpose &amp; Scope</w:t>
      </w:r>
    </w:p>
    <w:p>
      <w:pPr>
        <w:spacing w:after="100"/>
        <w:jc w:val="both"/>
      </w:pPr>
      <w:r>
        <w:rPr>
          <w:sz w:val="20"/>
          <w:szCs w:val="20"/>
        </w:rPr>
        <w:t xml:space="preserve">This policy explains how Contoso Corp collects, uses, stores, shares, and protects personal data relating to its employees, applicants, and contingent workers. It fulfills Contoso Corp's transparency obligations under GDPR, CCPA, and other applicable privacy laws and applies to all Contoso Corp entities worldwide.</w:t>
      </w:r>
    </w:p>
    <w:p>
      <w:pPr>
        <w:pStyle w:val="Heading1"/>
        <w:spacing w:after="80" w:before="240"/>
      </w:pPr>
      <w:r>
        <w:rPr>
          <w:b/>
          <w:bCs/>
          <w:color w:val="1A3A5C"/>
          <w:sz w:val="26"/>
          <w:szCs w:val="26"/>
        </w:rPr>
        <w:t xml:space="preserve">2. Data We Collect</w:t>
      </w:r>
    </w:p>
    <w:p>
      <w:pPr>
        <w:pStyle w:val="Heading2"/>
        <w:spacing w:after="60" w:before="160"/>
      </w:pPr>
      <w:r>
        <w:rPr>
          <w:b/>
          <w:bCs/>
          <w:color w:val="2C5F8A"/>
          <w:sz w:val="22"/>
          <w:szCs w:val="22"/>
        </w:rPr>
        <w:t xml:space="preserve">2.1 Categories of Employee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shd w:fill="1A3A5C" w:val="clear"/>
            <w:tcMar>
              <w:top w:type="dxa" w:w="60"/>
              <w:left w:type="dxa" w:w="80"/>
              <w:bottom w:type="dxa" w:w="60"/>
              <w:right w:type="dxa" w:w="80"/>
            </w:tcMar>
          </w:tcPr>
          <w:p>
            <w:r>
              <w:rPr>
                <w:b/>
                <w:bCs/>
                <w:color w:val="FFFFFF"/>
                <w:sz w:val="18"/>
                <w:szCs w:val="18"/>
              </w:rPr>
              <w:t xml:space="preserve">Category</w:t>
            </w:r>
          </w:p>
        </w:tc>
        <w:tc>
          <w:tcPr>
            <w:shd w:fill="1A3A5C" w:val="clear"/>
            <w:tcMar>
              <w:top w:type="dxa" w:w="60"/>
              <w:left w:type="dxa" w:w="80"/>
              <w:bottom w:type="dxa" w:w="60"/>
              <w:right w:type="dxa" w:w="80"/>
            </w:tcMar>
          </w:tcPr>
          <w:p>
            <w:r>
              <w:rPr>
                <w:b/>
                <w:bCs/>
                <w:color w:val="FFFFFF"/>
                <w:sz w:val="18"/>
                <w:szCs w:val="18"/>
              </w:rPr>
              <w:t xml:space="preserve">Examples</w:t>
            </w:r>
          </w:p>
        </w:tc>
        <w:tc>
          <w:tcPr>
            <w:shd w:fill="1A3A5C" w:val="clear"/>
            <w:tcMar>
              <w:top w:type="dxa" w:w="60"/>
              <w:left w:type="dxa" w:w="80"/>
              <w:bottom w:type="dxa" w:w="60"/>
              <w:right w:type="dxa" w:w="80"/>
            </w:tcMar>
          </w:tcPr>
          <w:p>
            <w:r>
              <w:rPr>
                <w:b/>
                <w:bCs/>
                <w:color w:val="FFFFFF"/>
                <w:sz w:val="18"/>
                <w:szCs w:val="18"/>
              </w:rPr>
              <w:t xml:space="preserve">Legal Basis (GDPR)</w:t>
            </w:r>
          </w:p>
        </w:tc>
      </w:tr>
      <w:tr>
        <w:tc>
          <w:tcPr>
            <w:shd w:fill="FFFFFF" w:val="clear"/>
            <w:tcMar>
              <w:top w:type="dxa" w:w="60"/>
              <w:left w:type="dxa" w:w="80"/>
              <w:bottom w:type="dxa" w:w="60"/>
              <w:right w:type="dxa" w:w="80"/>
            </w:tcMar>
          </w:tcPr>
          <w:p>
            <w:r>
              <w:rPr>
                <w:sz w:val="18"/>
                <w:szCs w:val="18"/>
              </w:rPr>
              <w:t xml:space="preserve">Identity &amp; Contact</w:t>
            </w:r>
          </w:p>
        </w:tc>
        <w:tc>
          <w:tcPr>
            <w:shd w:fill="FFFFFF" w:val="clear"/>
            <w:tcMar>
              <w:top w:type="dxa" w:w="60"/>
              <w:left w:type="dxa" w:w="80"/>
              <w:bottom w:type="dxa" w:w="60"/>
              <w:right w:type="dxa" w:w="80"/>
            </w:tcMar>
          </w:tcPr>
          <w:p>
            <w:r>
              <w:rPr>
                <w:sz w:val="18"/>
                <w:szCs w:val="18"/>
              </w:rPr>
              <w:t xml:space="preserve">Name, address, email, phone, DOB</w:t>
            </w:r>
          </w:p>
        </w:tc>
        <w:tc>
          <w:tcPr>
            <w:shd w:fill="FFFFFF" w:val="clear"/>
            <w:tcMar>
              <w:top w:type="dxa" w:w="60"/>
              <w:left w:type="dxa" w:w="80"/>
              <w:bottom w:type="dxa" w:w="60"/>
              <w:right w:type="dxa" w:w="80"/>
            </w:tcMar>
          </w:tcPr>
          <w:p>
            <w:r>
              <w:rPr>
                <w:sz w:val="18"/>
                <w:szCs w:val="18"/>
              </w:rPr>
              <w:t xml:space="preserve">Contract; Legal Obligation</w:t>
            </w:r>
          </w:p>
        </w:tc>
      </w:tr>
      <w:tr>
        <w:tc>
          <w:tcPr>
            <w:shd w:fill="EBF2FA" w:val="clear"/>
            <w:tcMar>
              <w:top w:type="dxa" w:w="60"/>
              <w:left w:type="dxa" w:w="80"/>
              <w:bottom w:type="dxa" w:w="60"/>
              <w:right w:type="dxa" w:w="80"/>
            </w:tcMar>
          </w:tcPr>
          <w:p>
            <w:r>
              <w:rPr>
                <w:sz w:val="18"/>
                <w:szCs w:val="18"/>
              </w:rPr>
              <w:t xml:space="preserve">Employment</w:t>
            </w:r>
          </w:p>
        </w:tc>
        <w:tc>
          <w:tcPr>
            <w:shd w:fill="EBF2FA" w:val="clear"/>
            <w:tcMar>
              <w:top w:type="dxa" w:w="60"/>
              <w:left w:type="dxa" w:w="80"/>
              <w:bottom w:type="dxa" w:w="60"/>
              <w:right w:type="dxa" w:w="80"/>
            </w:tcMar>
          </w:tcPr>
          <w:p>
            <w:r>
              <w:rPr>
                <w:sz w:val="18"/>
                <w:szCs w:val="18"/>
              </w:rPr>
              <w:t xml:space="preserve">Job title, salary, performance ratings, disciplinary records</w:t>
            </w:r>
          </w:p>
        </w:tc>
        <w:tc>
          <w:tcPr>
            <w:shd w:fill="EBF2FA" w:val="clear"/>
            <w:tcMar>
              <w:top w:type="dxa" w:w="60"/>
              <w:left w:type="dxa" w:w="80"/>
              <w:bottom w:type="dxa" w:w="60"/>
              <w:right w:type="dxa" w:w="80"/>
            </w:tcMar>
          </w:tcPr>
          <w:p>
            <w:r>
              <w:rPr>
                <w:sz w:val="18"/>
                <w:szCs w:val="18"/>
              </w:rPr>
              <w:t xml:space="preserve">Contract; Legitimate Interest</w:t>
            </w:r>
          </w:p>
        </w:tc>
      </w:tr>
      <w:tr>
        <w:tc>
          <w:tcPr>
            <w:shd w:fill="FFFFFF" w:val="clear"/>
            <w:tcMar>
              <w:top w:type="dxa" w:w="60"/>
              <w:left w:type="dxa" w:w="80"/>
              <w:bottom w:type="dxa" w:w="60"/>
              <w:right w:type="dxa" w:w="80"/>
            </w:tcMar>
          </w:tcPr>
          <w:p>
            <w:r>
              <w:rPr>
                <w:sz w:val="18"/>
                <w:szCs w:val="18"/>
              </w:rPr>
              <w:t xml:space="preserve">Payroll &amp; Benefits</w:t>
            </w:r>
          </w:p>
        </w:tc>
        <w:tc>
          <w:tcPr>
            <w:shd w:fill="FFFFFF" w:val="clear"/>
            <w:tcMar>
              <w:top w:type="dxa" w:w="60"/>
              <w:left w:type="dxa" w:w="80"/>
              <w:bottom w:type="dxa" w:w="60"/>
              <w:right w:type="dxa" w:w="80"/>
            </w:tcMar>
          </w:tcPr>
          <w:p>
            <w:r>
              <w:rPr>
                <w:sz w:val="18"/>
                <w:szCs w:val="18"/>
              </w:rPr>
              <w:t xml:space="preserve">Bank account, tax ID, benefit elections</w:t>
            </w:r>
          </w:p>
        </w:tc>
        <w:tc>
          <w:tcPr>
            <w:shd w:fill="FFFFFF" w:val="clear"/>
            <w:tcMar>
              <w:top w:type="dxa" w:w="60"/>
              <w:left w:type="dxa" w:w="80"/>
              <w:bottom w:type="dxa" w:w="60"/>
              <w:right w:type="dxa" w:w="80"/>
            </w:tcMar>
          </w:tcPr>
          <w:p>
            <w:r>
              <w:rPr>
                <w:sz w:val="18"/>
                <w:szCs w:val="18"/>
              </w:rPr>
              <w:t xml:space="preserve">Contract; Legal Obligation</w:t>
            </w:r>
          </w:p>
        </w:tc>
      </w:tr>
      <w:tr>
        <w:tc>
          <w:tcPr>
            <w:shd w:fill="EBF2FA" w:val="clear"/>
            <w:tcMar>
              <w:top w:type="dxa" w:w="60"/>
              <w:left w:type="dxa" w:w="80"/>
              <w:bottom w:type="dxa" w:w="60"/>
              <w:right w:type="dxa" w:w="80"/>
            </w:tcMar>
          </w:tcPr>
          <w:p>
            <w:r>
              <w:rPr>
                <w:sz w:val="18"/>
                <w:szCs w:val="18"/>
              </w:rPr>
              <w:t xml:space="preserve">IT &amp; Security</w:t>
            </w:r>
          </w:p>
        </w:tc>
        <w:tc>
          <w:tcPr>
            <w:shd w:fill="EBF2FA" w:val="clear"/>
            <w:tcMar>
              <w:top w:type="dxa" w:w="60"/>
              <w:left w:type="dxa" w:w="80"/>
              <w:bottom w:type="dxa" w:w="60"/>
              <w:right w:type="dxa" w:w="80"/>
            </w:tcMar>
          </w:tcPr>
          <w:p>
            <w:r>
              <w:rPr>
                <w:sz w:val="18"/>
                <w:szCs w:val="18"/>
              </w:rPr>
              <w:t xml:space="preserve">System access logs, email metadata, device IDs</w:t>
            </w:r>
          </w:p>
        </w:tc>
        <w:tc>
          <w:tcPr>
            <w:shd w:fill="EBF2FA" w:val="clear"/>
            <w:tcMar>
              <w:top w:type="dxa" w:w="60"/>
              <w:left w:type="dxa" w:w="80"/>
              <w:bottom w:type="dxa" w:w="60"/>
              <w:right w:type="dxa" w:w="80"/>
            </w:tcMar>
          </w:tcPr>
          <w:p>
            <w:r>
              <w:rPr>
                <w:sz w:val="18"/>
                <w:szCs w:val="18"/>
              </w:rPr>
              <w:t xml:space="preserve">Legitimate Interest; Legal Obligation</w:t>
            </w:r>
          </w:p>
        </w:tc>
      </w:tr>
      <w:tr>
        <w:tc>
          <w:tcPr>
            <w:shd w:fill="FFFFFF" w:val="clear"/>
            <w:tcMar>
              <w:top w:type="dxa" w:w="60"/>
              <w:left w:type="dxa" w:w="80"/>
              <w:bottom w:type="dxa" w:w="60"/>
              <w:right w:type="dxa" w:w="80"/>
            </w:tcMar>
          </w:tcPr>
          <w:p>
            <w:r>
              <w:rPr>
                <w:sz w:val="18"/>
                <w:szCs w:val="18"/>
              </w:rPr>
              <w:t xml:space="preserve">Health (limited)</w:t>
            </w:r>
          </w:p>
        </w:tc>
        <w:tc>
          <w:tcPr>
            <w:shd w:fill="FFFFFF" w:val="clear"/>
            <w:tcMar>
              <w:top w:type="dxa" w:w="60"/>
              <w:left w:type="dxa" w:w="80"/>
              <w:bottom w:type="dxa" w:w="60"/>
              <w:right w:type="dxa" w:w="80"/>
            </w:tcMar>
          </w:tcPr>
          <w:p>
            <w:r>
              <w:rPr>
                <w:sz w:val="18"/>
                <w:szCs w:val="18"/>
              </w:rPr>
              <w:t xml:space="preserve">Medical leave reason, disability accommodations</w:t>
            </w:r>
          </w:p>
        </w:tc>
        <w:tc>
          <w:tcPr>
            <w:shd w:fill="FFFFFF" w:val="clear"/>
            <w:tcMar>
              <w:top w:type="dxa" w:w="60"/>
              <w:left w:type="dxa" w:w="80"/>
              <w:bottom w:type="dxa" w:w="60"/>
              <w:right w:type="dxa" w:w="80"/>
            </w:tcMar>
          </w:tcPr>
          <w:p>
            <w:r>
              <w:rPr>
                <w:sz w:val="18"/>
                <w:szCs w:val="18"/>
              </w:rPr>
              <w:t xml:space="preserve">Legal Obligation; Explicit Consent</w:t>
            </w:r>
          </w:p>
        </w:tc>
      </w:tr>
      <w:tr>
        <w:tc>
          <w:tcPr>
            <w:shd w:fill="EBF2FA" w:val="clear"/>
            <w:tcMar>
              <w:top w:type="dxa" w:w="60"/>
              <w:left w:type="dxa" w:w="80"/>
              <w:bottom w:type="dxa" w:w="60"/>
              <w:right w:type="dxa" w:w="80"/>
            </w:tcMar>
          </w:tcPr>
          <w:p>
            <w:r>
              <w:rPr>
                <w:sz w:val="18"/>
                <w:szCs w:val="18"/>
              </w:rPr>
              <w:t xml:space="preserve">Sensitive / Special</w:t>
            </w:r>
          </w:p>
        </w:tc>
        <w:tc>
          <w:tcPr>
            <w:shd w:fill="EBF2FA" w:val="clear"/>
            <w:tcMar>
              <w:top w:type="dxa" w:w="60"/>
              <w:left w:type="dxa" w:w="80"/>
              <w:bottom w:type="dxa" w:w="60"/>
              <w:right w:type="dxa" w:w="80"/>
            </w:tcMar>
          </w:tcPr>
          <w:p>
            <w:r>
              <w:rPr>
                <w:sz w:val="18"/>
                <w:szCs w:val="18"/>
              </w:rPr>
              <w:t xml:space="preserve">Race/ethnicity (EEO reporting), union membership</w:t>
            </w:r>
          </w:p>
        </w:tc>
        <w:tc>
          <w:tcPr>
            <w:shd w:fill="EBF2FA" w:val="clear"/>
            <w:tcMar>
              <w:top w:type="dxa" w:w="60"/>
              <w:left w:type="dxa" w:w="80"/>
              <w:bottom w:type="dxa" w:w="60"/>
              <w:right w:type="dxa" w:w="80"/>
            </w:tcMar>
          </w:tcPr>
          <w:p>
            <w:r>
              <w:rPr>
                <w:sz w:val="18"/>
                <w:szCs w:val="18"/>
              </w:rPr>
              <w:t xml:space="preserve">Legal Obligation; Explicit Consent</w:t>
            </w:r>
          </w:p>
        </w:tc>
      </w:tr>
    </w:tbl>
    <w:p>
      <w:pPr>
        <w:spacing w:after="120"/>
      </w:pPr>
    </w:p>
    <w:p>
      <w:pPr>
        <w:pStyle w:val="Heading1"/>
        <w:spacing w:after="80" w:before="240"/>
      </w:pPr>
      <w:r>
        <w:rPr>
          <w:b/>
          <w:bCs/>
          <w:color w:val="1A3A5C"/>
          <w:sz w:val="26"/>
          <w:szCs w:val="26"/>
        </w:rPr>
        <w:t xml:space="preserve">3. How We Use Employee Data</w:t>
      </w:r>
    </w:p>
    <w:p>
      <w:pPr>
        <w:spacing w:after="100"/>
        <w:jc w:val="both"/>
      </w:pPr>
      <w:r>
        <w:rPr>
          <w:sz w:val="20"/>
          <w:szCs w:val="20"/>
        </w:rPr>
        <w:t xml:space="preserve">Contoso Corp uses employee personal data only for the purposes for which it was collected, including:</w:t>
      </w:r>
    </w:p>
    <w:p>
      <w:pPr>
        <w:spacing w:after="80"/>
        <w:ind w:left="360"/>
      </w:pPr>
      <w:r>
        <w:rPr>
          <w:sz w:val="20"/>
          <w:szCs w:val="20"/>
        </w:rPr>
        <w:t xml:space="preserve">•  Administering employment, payroll, and benefits.</w:t>
      </w:r>
    </w:p>
    <w:p>
      <w:pPr>
        <w:spacing w:after="80"/>
        <w:ind w:left="360"/>
      </w:pPr>
      <w:r>
        <w:rPr>
          <w:sz w:val="20"/>
          <w:szCs w:val="20"/>
        </w:rPr>
        <w:t xml:space="preserve">•  Conducting performance evaluations and workforce planning.</w:t>
      </w:r>
    </w:p>
    <w:p>
      <w:pPr>
        <w:spacing w:after="80"/>
        <w:ind w:left="360"/>
      </w:pPr>
      <w:r>
        <w:rPr>
          <w:sz w:val="20"/>
          <w:szCs w:val="20"/>
        </w:rPr>
        <w:t xml:space="preserve">•  Complying with legal, regulatory, and tax obligations.</w:t>
      </w:r>
    </w:p>
    <w:p>
      <w:pPr>
        <w:spacing w:after="80"/>
        <w:ind w:left="360"/>
      </w:pPr>
      <w:r>
        <w:rPr>
          <w:sz w:val="20"/>
          <w:szCs w:val="20"/>
        </w:rPr>
        <w:t xml:space="preserve">•  Ensuring workplace security and investigating policy violations.</w:t>
      </w:r>
    </w:p>
    <w:p>
      <w:pPr>
        <w:spacing w:after="80"/>
        <w:ind w:left="360"/>
      </w:pPr>
      <w:r>
        <w:rPr>
          <w:sz w:val="20"/>
          <w:szCs w:val="20"/>
        </w:rPr>
        <w:t xml:space="preserve">•  Providing required disclosures to government authorities.</w:t>
      </w:r>
    </w:p>
    <w:p>
      <w:pPr>
        <w:spacing w:after="80"/>
        <w:ind w:left="360"/>
      </w:pPr>
      <w:r>
        <w:rPr>
          <w:sz w:val="20"/>
          <w:szCs w:val="20"/>
        </w:rPr>
        <w:t xml:space="preserve">•  Diversity, equity, and inclusion analytics (anonymized and aggregated).</w:t>
      </w:r>
    </w:p>
    <w:p>
      <w:pPr>
        <w:pStyle w:val="Heading1"/>
        <w:spacing w:after="80" w:before="240"/>
      </w:pPr>
      <w:r>
        <w:rPr>
          <w:b/>
          <w:bCs/>
          <w:color w:val="1A3A5C"/>
          <w:sz w:val="26"/>
          <w:szCs w:val="26"/>
        </w:rPr>
        <w:t xml:space="preserve">4. Data Retention</w:t>
      </w:r>
    </w:p>
    <w:p>
      <w:pPr>
        <w:spacing w:after="100"/>
        <w:jc w:val="both"/>
      </w:pPr>
      <w:r>
        <w:rPr>
          <w:sz w:val="20"/>
          <w:szCs w:val="20"/>
        </w:rPr>
        <w:t xml:space="preserve">Contoso Corp retains employee personal data for as long as required by law or legitimate business need:</w:t>
      </w:r>
    </w:p>
    <w:p>
      <w:pPr>
        <w:spacing w:after="80"/>
        <w:ind w:left="360"/>
      </w:pPr>
      <w:r>
        <w:rPr>
          <w:sz w:val="20"/>
          <w:szCs w:val="20"/>
        </w:rPr>
        <w:t xml:space="preserve">•  Active employment records: Duration of employment + 7 years.</w:t>
      </w:r>
    </w:p>
    <w:p>
      <w:pPr>
        <w:spacing w:after="80"/>
        <w:ind w:left="360"/>
      </w:pPr>
      <w:r>
        <w:rPr>
          <w:sz w:val="20"/>
          <w:szCs w:val="20"/>
        </w:rPr>
        <w:t xml:space="preserve">•  Payroll records: 7 years from year-end.</w:t>
      </w:r>
    </w:p>
    <w:p>
      <w:pPr>
        <w:spacing w:after="80"/>
        <w:ind w:left="360"/>
      </w:pPr>
      <w:r>
        <w:rPr>
          <w:sz w:val="20"/>
          <w:szCs w:val="20"/>
        </w:rPr>
        <w:t xml:space="preserve">•  Benefits records: Duration of employment + 6 years.</w:t>
      </w:r>
    </w:p>
    <w:p>
      <w:pPr>
        <w:spacing w:after="80"/>
        <w:ind w:left="360"/>
      </w:pPr>
      <w:r>
        <w:rPr>
          <w:sz w:val="20"/>
          <w:szCs w:val="20"/>
        </w:rPr>
        <w:t xml:space="preserve">•  Recruitment records (unsuccessful candidates): 2 years.</w:t>
      </w:r>
    </w:p>
    <w:p>
      <w:pPr>
        <w:spacing w:after="80"/>
        <w:ind w:left="360"/>
      </w:pPr>
      <w:r>
        <w:rPr>
          <w:sz w:val="20"/>
          <w:szCs w:val="20"/>
        </w:rPr>
        <w:t xml:space="preserve">•  IT security logs: 1 year.</w:t>
      </w:r>
    </w:p>
    <w:p>
      <w:pPr>
        <w:spacing w:after="80"/>
        <w:ind w:left="360"/>
      </w:pPr>
      <w:r>
        <w:rPr>
          <w:sz w:val="20"/>
          <w:szCs w:val="20"/>
        </w:rPr>
        <w:t xml:space="preserve">•  Health/medical records: Duration of employment + 30 years (OSHA requirement).</w:t>
      </w:r>
    </w:p>
    <w:p>
      <w:pPr>
        <w:spacing w:after="100"/>
        <w:jc w:val="both"/>
      </w:pPr>
      <w:r>
        <w:rPr>
          <w:sz w:val="20"/>
          <w:szCs w:val="20"/>
        </w:rPr>
        <w:t xml:space="preserve">After the applicable retention period, data is securely destroyed using NIST SP 800-88 standard methods.</w:t>
      </w:r>
    </w:p>
    <w:p>
      <w:pPr>
        <w:pStyle w:val="Heading1"/>
        <w:spacing w:after="80" w:before="240"/>
      </w:pPr>
      <w:r>
        <w:rPr>
          <w:b/>
          <w:bCs/>
          <w:color w:val="1A3A5C"/>
          <w:sz w:val="26"/>
          <w:szCs w:val="26"/>
        </w:rPr>
        <w:t xml:space="preserve">5. Data Sharing</w:t>
      </w:r>
    </w:p>
    <w:p>
      <w:pPr>
        <w:spacing w:after="100"/>
        <w:jc w:val="both"/>
      </w:pPr>
      <w:r>
        <w:rPr>
          <w:sz w:val="20"/>
          <w:szCs w:val="20"/>
        </w:rPr>
        <w:t xml:space="preserve">Contoso Corp may share employee personal data with:</w:t>
      </w:r>
    </w:p>
    <w:p>
      <w:pPr>
        <w:spacing w:after="80"/>
        <w:ind w:left="360"/>
      </w:pPr>
      <w:r>
        <w:rPr>
          <w:sz w:val="20"/>
          <w:szCs w:val="20"/>
        </w:rPr>
        <w:t xml:space="preserve">•  Service providers (payroll processors, benefit administrators, background check firms) under data processing agreements.</w:t>
      </w:r>
    </w:p>
    <w:p>
      <w:pPr>
        <w:spacing w:after="80"/>
        <w:ind w:left="360"/>
      </w:pPr>
      <w:r>
        <w:rPr>
          <w:sz w:val="20"/>
          <w:szCs w:val="20"/>
        </w:rPr>
        <w:t xml:space="preserve">•  Group companies within the Contoso Corp corporate family, for HR administration.</w:t>
      </w:r>
    </w:p>
    <w:p>
      <w:pPr>
        <w:spacing w:after="80"/>
        <w:ind w:left="360"/>
      </w:pPr>
      <w:r>
        <w:rPr>
          <w:sz w:val="20"/>
          <w:szCs w:val="20"/>
        </w:rPr>
        <w:t xml:space="preserve">•  Government authorities when required by law (tax authorities, immigration, courts).</w:t>
      </w:r>
    </w:p>
    <w:p>
      <w:pPr>
        <w:spacing w:after="80"/>
        <w:ind w:left="360"/>
      </w:pPr>
      <w:r>
        <w:rPr>
          <w:sz w:val="20"/>
          <w:szCs w:val="20"/>
        </w:rPr>
        <w:t xml:space="preserve">•  Prospective acquirers in a merger or acquisition, under strict confidentiality.</w:t>
      </w:r>
    </w:p>
    <w:p>
      <w:pPr>
        <w:spacing w:after="100"/>
        <w:jc w:val="both"/>
      </w:pPr>
      <w:r>
        <w:rPr>
          <w:sz w:val="20"/>
          <w:szCs w:val="20"/>
        </w:rPr>
        <w:t xml:space="preserve">Contoso Corp does not sell employee personal data. Cross-border data transfers are protected by Standard Contractual Clauses or equivalent safeguards.</w:t>
      </w:r>
    </w:p>
    <w:p>
      <w:pPr>
        <w:pStyle w:val="Heading1"/>
        <w:spacing w:after="80" w:before="240"/>
      </w:pPr>
      <w:r>
        <w:rPr>
          <w:b/>
          <w:bCs/>
          <w:color w:val="1A3A5C"/>
          <w:sz w:val="26"/>
          <w:szCs w:val="26"/>
        </w:rPr>
        <w:t xml:space="preserve">6. Employee Rights</w:t>
      </w:r>
    </w:p>
    <w:p>
      <w:pPr>
        <w:spacing w:after="100"/>
        <w:jc w:val="both"/>
      </w:pPr>
      <w:r>
        <w:rPr>
          <w:sz w:val="20"/>
          <w:szCs w:val="20"/>
        </w:rPr>
        <w:t xml:space="preserve">Employees have the following rights regarding their personal data, subject to applicable law:</w:t>
      </w:r>
    </w:p>
    <w:p>
      <w:pPr>
        <w:spacing w:after="80"/>
        <w:ind w:left="360"/>
      </w:pPr>
      <w:r>
        <w:rPr>
          <w:sz w:val="20"/>
          <w:szCs w:val="20"/>
        </w:rPr>
        <w:t xml:space="preserve">•  Right of Access: Request a copy of the personal data Contoso Corp holds about you.</w:t>
      </w:r>
    </w:p>
    <w:p>
      <w:pPr>
        <w:spacing w:after="80"/>
        <w:ind w:left="360"/>
      </w:pPr>
      <w:r>
        <w:rPr>
          <w:sz w:val="20"/>
          <w:szCs w:val="20"/>
        </w:rPr>
        <w:t xml:space="preserve">•  Right of Correction: Request correction of inaccurate or incomplete data.</w:t>
      </w:r>
    </w:p>
    <w:p>
      <w:pPr>
        <w:spacing w:after="80"/>
        <w:ind w:left="360"/>
      </w:pPr>
      <w:r>
        <w:rPr>
          <w:sz w:val="20"/>
          <w:szCs w:val="20"/>
        </w:rPr>
        <w:t xml:space="preserve">•  Right of Erasure: Request deletion of data that is no longer necessary, subject to legal retention obligations.</w:t>
      </w:r>
    </w:p>
    <w:p>
      <w:pPr>
        <w:spacing w:after="80"/>
        <w:ind w:left="360"/>
      </w:pPr>
      <w:r>
        <w:rPr>
          <w:sz w:val="20"/>
          <w:szCs w:val="20"/>
        </w:rPr>
        <w:t xml:space="preserve">•  Right to Restrict Processing: Object to processing in certain circumstances.</w:t>
      </w:r>
    </w:p>
    <w:p>
      <w:pPr>
        <w:spacing w:after="80"/>
        <w:ind w:left="360"/>
      </w:pPr>
      <w:r>
        <w:rPr>
          <w:sz w:val="20"/>
          <w:szCs w:val="20"/>
        </w:rPr>
        <w:t xml:space="preserve">•  Right to Data Portability: Receive your data in a structured, machine-readable format.</w:t>
      </w:r>
    </w:p>
    <w:p>
      <w:pPr>
        <w:spacing w:after="100"/>
        <w:jc w:val="both"/>
      </w:pPr>
      <w:r>
        <w:rPr>
          <w:sz w:val="20"/>
          <w:szCs w:val="20"/>
        </w:rPr>
        <w:t xml:space="preserve">To exercise your rights, submit a request to privacy@contosocorp.com. Contoso Corp will respond within 30 days (GDPR) or 45 days (CCPA). Identity verification may be required.</w:t>
      </w:r>
    </w:p>
    <w:p>
      <w:pPr>
        <w:pStyle w:val="Heading1"/>
        <w:spacing w:after="80" w:before="240"/>
      </w:pPr>
      <w:r>
        <w:rPr>
          <w:b/>
          <w:bCs/>
          <w:color w:val="1A3A5C"/>
          <w:sz w:val="26"/>
          <w:szCs w:val="26"/>
        </w:rPr>
        <w:t xml:space="preserve">7. Data Security</w:t>
      </w:r>
    </w:p>
    <w:p>
      <w:pPr>
        <w:spacing w:after="100"/>
        <w:jc w:val="both"/>
      </w:pPr>
      <w:r>
        <w:rPr>
          <w:sz w:val="20"/>
          <w:szCs w:val="20"/>
        </w:rPr>
        <w:t xml:space="preserve">Contoso Corp applies administrative, technical, and physical safeguards to protect employee personal data including: role-based access controls, encryption at rest and in transit, annual security awareness training, and third-party penetration testing. In the event of a data breach affecting employee data, affected individuals will be notified within 72 hours of discovery (or as required by applicable law), with details of the breach and remediation steps.</w:t>
      </w:r>
    </w:p>
    <w:p>
      <w:pPr>
        <w:pStyle w:val="Heading1"/>
        <w:spacing w:after="80" w:before="240"/>
      </w:pPr>
      <w:r>
        <w:rPr>
          <w:b/>
          <w:bCs/>
          <w:color w:val="1A3A5C"/>
          <w:sz w:val="26"/>
          <w:szCs w:val="26"/>
        </w:rPr>
        <w:t xml:space="preserve">8. Contact</w:t>
      </w:r>
    </w:p>
    <w:p>
      <w:pPr>
        <w:spacing w:after="100"/>
        <w:jc w:val="both"/>
      </w:pPr>
      <w:r>
        <w:rPr>
          <w:sz w:val="20"/>
          <w:szCs w:val="20"/>
        </w:rPr>
        <w:t xml:space="preserve">Questions or concerns about this policy should be directed to the Chief Privacy Officer at privacy@contosocorp.com. EU employees may also contact the EU Data Protection Representative at eu-dpr@contosocorp.com or lodge a complaint with their local supervisory authority.</w:t>
      </w:r>
    </w:p>
    <w:p>
      <w:pPr>
        <w:spacing w:after="160"/>
      </w:pPr>
    </w:p>
    <w:p>
      <w:pPr>
        <w:pBdr>
          <w:bottom w:val="single" w:color="1A3A5C" w:sz="12"/>
        </w:pBdr>
        <w:spacing w:after="120"/>
      </w:pPr>
    </w:p>
    <w:p>
      <w:pPr>
        <w:jc w:val="center"/>
      </w:pPr>
      <w:r>
        <w:rPr>
          <w:color w:val="888888"/>
          <w:sz w:val="16"/>
          <w:szCs w:val="16"/>
        </w:rPr>
        <w:t xml:space="preserve">Contoso Corp Confidential  |  CON-IT-004  |  privacy@contosocorp.com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2026-07-21T21:32:49.801Z</dcterms:created>
  <dcterms:modified xsi:type="dcterms:W3CDTF">2026-07-21T21:32:49.801Z</dcterms:modified>
</cp:coreProperties>
</file>

<file path=docProps/custom.xml><?xml version="1.0" encoding="utf-8"?>
<Properties xmlns="http://schemas.openxmlformats.org/officeDocument/2006/custom-properties" xmlns:vt="http://schemas.openxmlformats.org/officeDocument/2006/docPropsVTypes"/>
</file>