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4B117">
      <w:pPr>
        <w:pStyle w:val="3"/>
        <w:jc w:val="center"/>
      </w:pPr>
      <w:r>
        <w:rPr>
          <w:rFonts w:hint="eastAsia" w:ascii="微软雅黑" w:hAnsi="微软雅黑" w:eastAsia="微软雅黑" w:cs="微软雅黑"/>
          <w:color w:val="0F2B46"/>
          <w:sz w:val="23"/>
          <w:lang w:eastAsia="zh-CN"/>
        </w:rPr>
        <w:t>合同</w:t>
      </w:r>
    </w:p>
    <w:p w14:paraId="7353C133">
      <w:pPr>
        <w:pStyle w:val="4"/>
      </w:pPr>
      <w:r>
        <w:rPr>
          <w:rFonts w:hint="eastAsia" w:ascii="微软雅黑" w:hAnsi="微软雅黑" w:eastAsia="微软雅黑" w:cs="微软雅黑"/>
          <w:b/>
          <w:color w:val="FFFFFF"/>
          <w:sz w:val="16"/>
          <w:lang w:eastAsia="zh-CN"/>
        </w:rPr>
        <w:t>一、高标准合同必备条款</w:t>
      </w:r>
    </w:p>
    <w:p w14:paraId="55BCC5ED">
      <w:pPr>
        <w:jc w:val="both"/>
      </w:pPr>
      <w:r>
        <w:rPr>
          <w:rFonts w:hint="eastAsia" w:ascii="微软雅黑" w:hAnsi="微软雅黑" w:eastAsia="微软雅黑" w:cs="微软雅黑"/>
          <w:b/>
          <w:color w:val="14395C"/>
          <w:lang w:eastAsia="zh-CN"/>
        </w:rPr>
        <w:t>合同的核心目的：</w:t>
      </w:r>
      <w:r>
        <w:rPr>
          <w:rFonts w:hint="eastAsia" w:ascii="微软雅黑" w:hAnsi="微软雅黑" w:eastAsia="微软雅黑" w:cs="微软雅黑"/>
          <w:lang w:eastAsia="zh-CN"/>
        </w:rPr>
        <w:t>把双方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现在说好的事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，变成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将来打官司时法院能直接执行的事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。三层含义</w:t>
      </w:r>
      <w:r>
        <w:t>——</w:t>
      </w:r>
      <w:r>
        <w:rPr>
          <w:rFonts w:hint="eastAsia" w:ascii="微软雅黑" w:hAnsi="微软雅黑" w:eastAsia="微软雅黑" w:cs="微软雅黑"/>
          <w:b/>
          <w:lang w:eastAsia="zh-CN"/>
        </w:rPr>
        <w:t>固定事实</w:t>
      </w:r>
      <w:r>
        <w:rPr>
          <w:rFonts w:hint="eastAsia" w:ascii="微软雅黑" w:hAnsi="微软雅黑" w:eastAsia="微软雅黑" w:cs="微软雅黑"/>
          <w:lang w:eastAsia="zh-CN"/>
        </w:rPr>
        <w:t>（防对方不承认）、</w:t>
      </w:r>
      <w:r>
        <w:rPr>
          <w:rFonts w:hint="eastAsia" w:ascii="微软雅黑" w:hAnsi="微软雅黑" w:eastAsia="微软雅黑" w:cs="微软雅黑"/>
          <w:b/>
          <w:lang w:eastAsia="zh-CN"/>
        </w:rPr>
        <w:t>分配风险</w:t>
      </w:r>
      <w:r>
        <w:rPr>
          <w:rFonts w:hint="eastAsia" w:ascii="微软雅黑" w:hAnsi="微软雅黑" w:eastAsia="微软雅黑" w:cs="微软雅黑"/>
          <w:lang w:eastAsia="zh-CN"/>
        </w:rPr>
        <w:t>（约定出意外时谁负责）、</w:t>
      </w:r>
      <w:r>
        <w:rPr>
          <w:rFonts w:hint="eastAsia" w:ascii="微软雅黑" w:hAnsi="微软雅黑" w:eastAsia="微软雅黑" w:cs="微软雅黑"/>
          <w:b/>
          <w:lang w:eastAsia="zh-CN"/>
        </w:rPr>
        <w:t>提供救济</w:t>
      </w:r>
      <w:r>
        <w:rPr>
          <w:rFonts w:hint="eastAsia" w:ascii="微软雅黑" w:hAnsi="微软雅黑" w:eastAsia="微软雅黑" w:cs="微软雅黑"/>
          <w:lang w:eastAsia="zh-CN"/>
        </w:rPr>
        <w:t>（让违约有代价、维权有路径）。合同的价值体现在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事情不顺利的时候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；写作时须假设：</w:t>
      </w:r>
      <w:r>
        <w:rPr>
          <w:rFonts w:hint="eastAsia" w:ascii="微软雅黑" w:hAnsi="微软雅黑" w:eastAsia="微软雅黑" w:cs="微软雅黑"/>
          <w:b/>
          <w:lang w:eastAsia="zh-CN"/>
        </w:rPr>
        <w:t>对方已经翻脸、已经请了律师、正在逐字找你的漏洞。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"/>
        <w:gridCol w:w="1176"/>
        <w:gridCol w:w="2437"/>
        <w:gridCol w:w="2521"/>
        <w:gridCol w:w="2016"/>
      </w:tblGrid>
      <w:tr w14:paraId="79472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" w:type="pct"/>
            <w:tcBorders>
              <w:top w:val="single" w:color="1C4A75" w:sz="6" w:space="0"/>
              <w:left w:val="single" w:color="1C4A75" w:sz="6" w:space="0"/>
              <w:bottom w:val="single" w:color="1C4A75" w:sz="6" w:space="0"/>
              <w:right w:val="single" w:color="1C4A75" w:sz="6" w:space="0"/>
            </w:tcBorders>
            <w:shd w:val="clear" w:color="auto" w:fill="1C4A75"/>
            <w:tcMar>
              <w:top w:w="27" w:type="dxa"/>
              <w:left w:w="45" w:type="dxa"/>
              <w:bottom w:w="27" w:type="dxa"/>
              <w:right w:w="45" w:type="dxa"/>
            </w:tcMar>
            <w:vAlign w:val="center"/>
          </w:tcPr>
          <w:p w14:paraId="0AD72F9B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700" w:type="pct"/>
            <w:tcBorders>
              <w:top w:val="single" w:color="1C4A75" w:sz="6" w:space="0"/>
              <w:left w:val="single" w:color="1C4A75" w:sz="6" w:space="0"/>
              <w:bottom w:val="single" w:color="1C4A75" w:sz="6" w:space="0"/>
              <w:right w:val="single" w:color="1C4A75" w:sz="6" w:space="0"/>
            </w:tcBorders>
            <w:shd w:val="clear" w:color="auto" w:fill="1C4A75"/>
            <w:tcMar>
              <w:top w:w="27" w:type="dxa"/>
              <w:left w:w="45" w:type="dxa"/>
              <w:bottom w:w="27" w:type="dxa"/>
              <w:right w:w="45" w:type="dxa"/>
            </w:tcMar>
            <w:vAlign w:val="center"/>
          </w:tcPr>
          <w:p w14:paraId="6169581F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条款</w:t>
            </w:r>
          </w:p>
        </w:tc>
        <w:tc>
          <w:tcPr>
            <w:tcW w:w="1450" w:type="pct"/>
            <w:tcBorders>
              <w:top w:val="single" w:color="1C4A75" w:sz="6" w:space="0"/>
              <w:left w:val="single" w:color="1C4A75" w:sz="6" w:space="0"/>
              <w:bottom w:val="single" w:color="1C4A75" w:sz="6" w:space="0"/>
              <w:right w:val="single" w:color="1C4A75" w:sz="6" w:space="0"/>
            </w:tcBorders>
            <w:shd w:val="clear" w:color="auto" w:fill="1C4A75"/>
            <w:tcMar>
              <w:top w:w="27" w:type="dxa"/>
              <w:left w:w="45" w:type="dxa"/>
              <w:bottom w:w="27" w:type="dxa"/>
              <w:right w:w="45" w:type="dxa"/>
            </w:tcMar>
            <w:vAlign w:val="center"/>
          </w:tcPr>
          <w:p w14:paraId="56FCF1B5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这一条在防什么</w:t>
            </w:r>
          </w:p>
        </w:tc>
        <w:tc>
          <w:tcPr>
            <w:tcW w:w="1500" w:type="pct"/>
            <w:tcBorders>
              <w:top w:val="single" w:color="1C4A75" w:sz="6" w:space="0"/>
              <w:left w:val="single" w:color="1C4A75" w:sz="6" w:space="0"/>
              <w:bottom w:val="single" w:color="1C4A75" w:sz="6" w:space="0"/>
              <w:right w:val="single" w:color="1C4A75" w:sz="6" w:space="0"/>
            </w:tcBorders>
            <w:shd w:val="clear" w:color="auto" w:fill="1C4A75"/>
            <w:tcMar>
              <w:top w:w="27" w:type="dxa"/>
              <w:left w:w="45" w:type="dxa"/>
              <w:bottom w:w="27" w:type="dxa"/>
              <w:right w:w="45" w:type="dxa"/>
            </w:tcMar>
            <w:vAlign w:val="center"/>
          </w:tcPr>
          <w:p w14:paraId="0F14F9C1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必须写清的关键点</w:t>
            </w:r>
          </w:p>
        </w:tc>
        <w:tc>
          <w:tcPr>
            <w:tcW w:w="1200" w:type="pct"/>
            <w:tcBorders>
              <w:top w:val="single" w:color="1C4A75" w:sz="6" w:space="0"/>
              <w:left w:val="single" w:color="1C4A75" w:sz="6" w:space="0"/>
              <w:bottom w:val="single" w:color="1C4A75" w:sz="6" w:space="0"/>
              <w:right w:val="single" w:color="1C4A75" w:sz="6" w:space="0"/>
            </w:tcBorders>
            <w:shd w:val="clear" w:color="auto" w:fill="1C4A75"/>
            <w:tcMar>
              <w:top w:w="27" w:type="dxa"/>
              <w:left w:w="45" w:type="dxa"/>
              <w:bottom w:w="27" w:type="dxa"/>
              <w:right w:w="45" w:type="dxa"/>
            </w:tcMar>
            <w:vAlign w:val="center"/>
          </w:tcPr>
          <w:p w14:paraId="3F217779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缺了会怎样</w:t>
            </w:r>
          </w:p>
        </w:tc>
      </w:tr>
      <w:tr w14:paraId="2C595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67CEC08">
            <w:pPr>
              <w:spacing w:before="60" w:after="60" w:line="240" w:lineRule="auto"/>
            </w:pPr>
            <w:r>
              <w:t>1</w:t>
            </w:r>
          </w:p>
        </w:tc>
        <w:tc>
          <w:tcPr>
            <w:tcW w:w="7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0FC4BFD3">
            <w:pPr>
              <w:spacing w:before="60" w:after="60" w:line="240" w:lineRule="auto"/>
            </w:pPr>
            <w:r>
              <w:rPr>
                <w:b/>
              </w:rPr>
              <w:t>当事人身份</w:t>
            </w:r>
            <w:r>
              <w:t xml:space="preserve"> </w:t>
            </w:r>
            <w:r>
              <w:rPr>
                <w:b/>
                <w:color w:val="FFFFFF"/>
                <w:sz w:val="12"/>
              </w:rPr>
              <w:t>红线</w:t>
            </w:r>
          </w:p>
        </w:tc>
        <w:tc>
          <w:tcPr>
            <w:tcW w:w="14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6A6C3720">
            <w:pPr>
              <w:spacing w:before="60" w:after="60" w:line="240" w:lineRule="auto"/>
            </w:pPr>
            <w:r>
              <w:t>防止 " 找错人 "" 告不了 "</w:t>
            </w:r>
          </w:p>
        </w:tc>
        <w:tc>
          <w:tcPr>
            <w:tcW w:w="15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5DF71A36">
            <w:pPr>
              <w:spacing w:before="60" w:after="60" w:line="240" w:lineRule="auto"/>
            </w:pPr>
            <w:r>
              <w:t>自然人：姓名＋身份证号＋住址＋联系方式；法人：全称＋统一社会信用代码＋法定代表人＋住所</w:t>
            </w:r>
          </w:p>
        </w:tc>
        <w:tc>
          <w:tcPr>
            <w:tcW w:w="12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65ECAB71">
            <w:pPr>
              <w:spacing w:before="60" w:after="60" w:line="240" w:lineRule="auto"/>
            </w:pPr>
            <w:r>
              <w:t>姓名错一字或证件号缺失，立案受阻，甚至须先确认身份</w:t>
            </w:r>
          </w:p>
        </w:tc>
      </w:tr>
      <w:tr w14:paraId="4A144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420D162">
            <w:pPr>
              <w:spacing w:before="60" w:after="60" w:line="240" w:lineRule="auto"/>
            </w:pPr>
            <w:r>
              <w:t>2</w:t>
            </w:r>
          </w:p>
        </w:tc>
        <w:tc>
          <w:tcPr>
            <w:tcW w:w="7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467507A1">
            <w:pPr>
              <w:spacing w:before="60" w:after="60" w:line="240" w:lineRule="auto"/>
            </w:pPr>
            <w:r>
              <w:rPr>
                <w:b/>
              </w:rPr>
              <w:t>标的物／交易内容</w:t>
            </w:r>
            <w:r>
              <w:t xml:space="preserve"> </w:t>
            </w:r>
            <w:r>
              <w:rPr>
                <w:b/>
                <w:color w:val="FFFFFF"/>
                <w:sz w:val="12"/>
              </w:rPr>
              <w:t>红线</w:t>
            </w:r>
          </w:p>
        </w:tc>
        <w:tc>
          <w:tcPr>
            <w:tcW w:w="14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58F9826D">
            <w:pPr>
              <w:spacing w:before="60" w:after="60" w:line="240" w:lineRule="auto"/>
            </w:pPr>
            <w:r>
              <w:t>防止 " 到底是什么东西 " 说不清</w:t>
            </w:r>
          </w:p>
        </w:tc>
        <w:tc>
          <w:tcPr>
            <w:tcW w:w="15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5FDD612B">
            <w:pPr>
              <w:spacing w:before="60" w:after="60" w:line="240" w:lineRule="auto"/>
            </w:pPr>
            <w:r>
              <w:t>房屋：坐落＋产权证号＋面积＋用途；借款：金额＋大写＋收款账户；劳动：岗位＋地点</w:t>
            </w:r>
          </w:p>
        </w:tc>
        <w:tc>
          <w:tcPr>
            <w:tcW w:w="12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4B38CC8E">
            <w:pPr>
              <w:spacing w:before="60" w:after="60" w:line="240" w:lineRule="auto"/>
            </w:pPr>
            <w:r>
              <w:t>标的不明确，可能被认定 " 主要内容未达成一致 " ，合同不成立</w:t>
            </w:r>
          </w:p>
        </w:tc>
      </w:tr>
      <w:tr w14:paraId="5CB59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26EF9D28">
            <w:pPr>
              <w:spacing w:before="60" w:after="60" w:line="240" w:lineRule="auto"/>
            </w:pPr>
            <w:r>
              <w:t>3</w:t>
            </w:r>
          </w:p>
        </w:tc>
        <w:tc>
          <w:tcPr>
            <w:tcW w:w="7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0F41855">
            <w:pPr>
              <w:spacing w:before="60" w:after="60" w:line="240" w:lineRule="auto"/>
            </w:pPr>
            <w:r>
              <w:rPr>
                <w:b/>
              </w:rPr>
              <w:t>金额与支付方式</w:t>
            </w:r>
            <w:r>
              <w:t xml:space="preserve"> </w:t>
            </w:r>
            <w:r>
              <w:rPr>
                <w:b/>
                <w:color w:val="FFFFFF"/>
                <w:sz w:val="12"/>
              </w:rPr>
              <w:t>红线</w:t>
            </w:r>
          </w:p>
        </w:tc>
        <w:tc>
          <w:tcPr>
            <w:tcW w:w="14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58CF4514">
            <w:pPr>
              <w:spacing w:before="60" w:after="60" w:line="240" w:lineRule="auto"/>
            </w:pPr>
            <w:r>
              <w:t>防止 " 给了多少钱 " 扯皮</w:t>
            </w:r>
          </w:p>
        </w:tc>
        <w:tc>
          <w:tcPr>
            <w:tcW w:w="15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C6389F4">
            <w:pPr>
              <w:spacing w:before="60" w:after="60" w:line="240" w:lineRule="auto"/>
            </w:pPr>
            <w:r>
              <w:t xml:space="preserve">数字与中文大写 </w:t>
            </w:r>
            <w:r>
              <w:rPr>
                <w:b/>
              </w:rPr>
              <w:t>同时</w:t>
            </w:r>
            <w:r>
              <w:t xml:space="preserve"> 书写；付款时间点；收款账户（户名／账号／开户行）</w:t>
            </w:r>
          </w:p>
        </w:tc>
        <w:tc>
          <w:tcPr>
            <w:tcW w:w="12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5997F97E">
            <w:pPr>
              <w:spacing w:before="60" w:after="60" w:line="240" w:lineRule="auto"/>
            </w:pPr>
            <w:r>
              <w:t>只有小写易被篡改；无付款账户则付款行为难举证</w:t>
            </w:r>
          </w:p>
        </w:tc>
      </w:tr>
      <w:tr w14:paraId="5D29E3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72FEF4CF">
            <w:pPr>
              <w:spacing w:before="60" w:after="60" w:line="240" w:lineRule="auto"/>
            </w:pPr>
            <w:r>
              <w:t>4</w:t>
            </w:r>
          </w:p>
        </w:tc>
        <w:tc>
          <w:tcPr>
            <w:tcW w:w="7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62B49D6F">
            <w:pPr>
              <w:spacing w:before="60" w:after="60" w:line="240" w:lineRule="auto"/>
            </w:pPr>
            <w:r>
              <w:rPr>
                <w:b/>
              </w:rPr>
              <w:t>履行期限与方式</w:t>
            </w:r>
            <w:r>
              <w:t xml:space="preserve"> </w:t>
            </w:r>
            <w:r>
              <w:rPr>
                <w:b/>
                <w:color w:val="FFFFFF"/>
                <w:sz w:val="12"/>
              </w:rPr>
              <w:t>红线</w:t>
            </w:r>
          </w:p>
        </w:tc>
        <w:tc>
          <w:tcPr>
            <w:tcW w:w="14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62C001F9">
            <w:pPr>
              <w:spacing w:before="60" w:after="60" w:line="240" w:lineRule="auto"/>
            </w:pPr>
            <w:r>
              <w:t>防止 " 什么时候做 " 无限拖延</w:t>
            </w:r>
          </w:p>
        </w:tc>
        <w:tc>
          <w:tcPr>
            <w:tcW w:w="15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5C993E35">
            <w:pPr>
              <w:spacing w:before="60" w:after="60" w:line="240" w:lineRule="auto"/>
            </w:pPr>
            <w:r>
              <w:t>起止日期，或 " 触发条件＋天数 " （如 " 取得产权证之日起  15  日内 " ）</w:t>
            </w:r>
          </w:p>
        </w:tc>
        <w:tc>
          <w:tcPr>
            <w:tcW w:w="12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6EF93A11">
            <w:pPr>
              <w:spacing w:before="60" w:after="60" w:line="240" w:lineRule="auto"/>
            </w:pPr>
            <w:r>
              <w:t>无期限则对方可 " 合理地 " 一直拖，无法主张违约</w:t>
            </w:r>
          </w:p>
        </w:tc>
      </w:tr>
      <w:tr w14:paraId="347FF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0135AD0F">
            <w:pPr>
              <w:spacing w:before="60" w:after="60" w:line="240" w:lineRule="auto"/>
            </w:pPr>
            <w:r>
              <w:t>5</w:t>
            </w:r>
          </w:p>
        </w:tc>
        <w:tc>
          <w:tcPr>
            <w:tcW w:w="7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F236733">
            <w:pPr>
              <w:spacing w:before="60" w:after="60" w:line="240" w:lineRule="auto"/>
            </w:pPr>
            <w:r>
              <w:rPr>
                <w:b/>
              </w:rPr>
              <w:t>权利义务与承诺保证</w:t>
            </w:r>
          </w:p>
        </w:tc>
        <w:tc>
          <w:tcPr>
            <w:tcW w:w="14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02A8D23">
            <w:pPr>
              <w:spacing w:before="60" w:after="60" w:line="240" w:lineRule="auto"/>
            </w:pPr>
            <w:r>
              <w:t>防止对方 " 隐瞒重大情况 "</w:t>
            </w:r>
          </w:p>
        </w:tc>
        <w:tc>
          <w:tcPr>
            <w:tcW w:w="15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61B6F81B">
            <w:pPr>
              <w:spacing w:before="60" w:after="60" w:line="240" w:lineRule="auto"/>
            </w:pPr>
            <w:r>
              <w:t>房屋：无查封／无抵押／无新租赁／已告知瑕疵；劳动：如实告知职业危害；借款：用途限制</w:t>
            </w:r>
          </w:p>
        </w:tc>
        <w:tc>
          <w:tcPr>
            <w:tcW w:w="12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47631EC0">
            <w:pPr>
              <w:spacing w:before="60" w:after="60" w:line="240" w:lineRule="auto"/>
            </w:pPr>
            <w:r>
              <w:t>对方隐瞒后才发现，若合同未要求其承诺，追责难度大幅上升</w:t>
            </w:r>
          </w:p>
        </w:tc>
      </w:tr>
      <w:tr w14:paraId="3FFBA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0A45C637">
            <w:pPr>
              <w:spacing w:before="60" w:after="60" w:line="240" w:lineRule="auto"/>
            </w:pPr>
            <w:r>
              <w:t>6</w:t>
            </w:r>
          </w:p>
        </w:tc>
        <w:tc>
          <w:tcPr>
            <w:tcW w:w="7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3025362A">
            <w:pPr>
              <w:spacing w:before="60" w:after="60" w:line="240" w:lineRule="auto"/>
            </w:pPr>
            <w:r>
              <w:rPr>
                <w:b/>
              </w:rPr>
              <w:t>违约责任</w:t>
            </w:r>
            <w:r>
              <w:t xml:space="preserve"> </w:t>
            </w:r>
            <w:r>
              <w:rPr>
                <w:b/>
                <w:color w:val="FFFFFF"/>
                <w:sz w:val="12"/>
              </w:rPr>
              <w:t>红线</w:t>
            </w:r>
          </w:p>
        </w:tc>
        <w:tc>
          <w:tcPr>
            <w:tcW w:w="14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61B40930">
            <w:pPr>
              <w:spacing w:before="60" w:after="60" w:line="240" w:lineRule="auto"/>
            </w:pPr>
            <w:r>
              <w:t>让违约 " 有价格 "</w:t>
            </w:r>
          </w:p>
        </w:tc>
        <w:tc>
          <w:tcPr>
            <w:tcW w:w="15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060F0380">
            <w:pPr>
              <w:spacing w:before="60" w:after="60" w:line="240" w:lineRule="auto"/>
            </w:pPr>
            <w:r>
              <w:t>违约金计算方式（日万分之几／固定比例）、赔偿范围、是否含律师费诉讼费</w:t>
            </w:r>
          </w:p>
        </w:tc>
        <w:tc>
          <w:tcPr>
            <w:tcW w:w="12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470F6F7E">
            <w:pPr>
              <w:spacing w:before="60" w:after="60" w:line="240" w:lineRule="auto"/>
            </w:pPr>
            <w:r>
              <w:t>无违约金条款，只能主张 " 实际损失 " ，而实际损失极难举证</w:t>
            </w:r>
          </w:p>
        </w:tc>
      </w:tr>
      <w:tr w14:paraId="25DFDE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07FAFB86">
            <w:pPr>
              <w:spacing w:before="60" w:after="60" w:line="240" w:lineRule="auto"/>
            </w:pPr>
            <w:r>
              <w:t>7</w:t>
            </w:r>
          </w:p>
        </w:tc>
        <w:tc>
          <w:tcPr>
            <w:tcW w:w="7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629DF1BE">
            <w:pPr>
              <w:spacing w:before="60" w:after="60" w:line="240" w:lineRule="auto"/>
            </w:pPr>
            <w:r>
              <w:rPr>
                <w:b/>
              </w:rPr>
              <w:t>争议解决方式</w:t>
            </w:r>
            <w:r>
              <w:t xml:space="preserve"> </w:t>
            </w:r>
            <w:r>
              <w:rPr>
                <w:b/>
                <w:color w:val="FFFFFF"/>
                <w:sz w:val="12"/>
              </w:rPr>
              <w:t>红线</w:t>
            </w:r>
          </w:p>
        </w:tc>
        <w:tc>
          <w:tcPr>
            <w:tcW w:w="14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663E5B85">
            <w:pPr>
              <w:spacing w:before="60" w:after="60" w:line="240" w:lineRule="auto"/>
            </w:pPr>
            <w:r>
              <w:t>防止 " 不知道去哪个衙门 "</w:t>
            </w:r>
          </w:p>
        </w:tc>
        <w:tc>
          <w:tcPr>
            <w:tcW w:w="15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3FF635DC">
            <w:pPr>
              <w:spacing w:before="60" w:after="60" w:line="240" w:lineRule="auto"/>
            </w:pPr>
            <w:r>
              <w:t xml:space="preserve">明确 " 向  XX  地人民法院起诉 " </w:t>
            </w:r>
            <w:r>
              <w:rPr>
                <w:b/>
              </w:rPr>
              <w:t>或</w:t>
            </w:r>
            <w:r>
              <w:t xml:space="preserve"> " 提交  XX  仲裁委员会仲裁 " ， </w:t>
            </w:r>
            <w:r>
              <w:rPr>
                <w:b/>
                <w:color w:val="B3261E"/>
              </w:rPr>
              <w:t>二者只能选一个</w:t>
            </w:r>
          </w:p>
        </w:tc>
        <w:tc>
          <w:tcPr>
            <w:tcW w:w="12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21B61BD8">
            <w:pPr>
              <w:spacing w:before="60" w:after="60" w:line="240" w:lineRule="auto"/>
            </w:pPr>
            <w:r>
              <w:t>条款无效时按法定管辖，可能被迫去外地应诉，成本翻倍</w:t>
            </w:r>
          </w:p>
        </w:tc>
      </w:tr>
      <w:tr w14:paraId="52A32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29414DE9">
            <w:pPr>
              <w:spacing w:before="60" w:after="60" w:line="240" w:lineRule="auto"/>
            </w:pPr>
            <w:r>
              <w:t>8</w:t>
            </w:r>
          </w:p>
        </w:tc>
        <w:tc>
          <w:tcPr>
            <w:tcW w:w="7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74482247">
            <w:pPr>
              <w:spacing w:before="60" w:after="60" w:line="240" w:lineRule="auto"/>
            </w:pPr>
            <w:r>
              <w:rPr>
                <w:b/>
              </w:rPr>
              <w:t>送达条款</w:t>
            </w:r>
            <w:r>
              <w:t xml:space="preserve"> </w:t>
            </w:r>
            <w:r>
              <w:rPr>
                <w:b/>
                <w:color w:val="FFFFFF"/>
                <w:sz w:val="12"/>
              </w:rPr>
              <w:t>建议</w:t>
            </w:r>
          </w:p>
        </w:tc>
        <w:tc>
          <w:tcPr>
            <w:tcW w:w="14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23B4C83">
            <w:pPr>
              <w:spacing w:before="60" w:after="60" w:line="240" w:lineRule="auto"/>
            </w:pPr>
            <w:r>
              <w:t>防止对方 " 玩失踪 " 卡死程序</w:t>
            </w:r>
          </w:p>
        </w:tc>
        <w:tc>
          <w:tcPr>
            <w:tcW w:w="15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4FC6AC65">
            <w:pPr>
              <w:spacing w:before="60" w:after="60" w:line="240" w:lineRule="auto"/>
            </w:pPr>
            <w:r>
              <w:t>通讯地址、手机、邮箱；约定 " 同时作为有效司法送达地址 " ； " 拒收或退回视为送达 "</w:t>
            </w:r>
          </w:p>
        </w:tc>
        <w:tc>
          <w:tcPr>
            <w:tcW w:w="12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653F0F92">
            <w:pPr>
              <w:spacing w:before="60" w:after="60" w:line="240" w:lineRule="auto"/>
            </w:pPr>
            <w:r>
              <w:t>对方拒收法院文书会大幅拉长诉讼周期，甚至需公告送达（额外数月）</w:t>
            </w:r>
          </w:p>
        </w:tc>
      </w:tr>
      <w:tr w14:paraId="30569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33E224FE">
            <w:pPr>
              <w:spacing w:before="60" w:after="60" w:line="240" w:lineRule="auto"/>
            </w:pPr>
            <w:r>
              <w:t>9</w:t>
            </w:r>
          </w:p>
        </w:tc>
        <w:tc>
          <w:tcPr>
            <w:tcW w:w="7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72180964">
            <w:pPr>
              <w:spacing w:before="60" w:after="60" w:line="240" w:lineRule="auto"/>
            </w:pPr>
            <w:r>
              <w:rPr>
                <w:b/>
              </w:rPr>
              <w:t>生效、份数与附件</w:t>
            </w:r>
            <w:r>
              <w:t xml:space="preserve"> </w:t>
            </w:r>
            <w:r>
              <w:rPr>
                <w:b/>
                <w:color w:val="FFFFFF"/>
                <w:sz w:val="12"/>
              </w:rPr>
              <w:t>建议</w:t>
            </w:r>
          </w:p>
        </w:tc>
        <w:tc>
          <w:tcPr>
            <w:tcW w:w="14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58C4D7A7">
            <w:pPr>
              <w:spacing w:before="60" w:after="60" w:line="240" w:lineRule="auto"/>
            </w:pPr>
            <w:r>
              <w:t>防止 " 何时生效 "" 改了算不算 "</w:t>
            </w:r>
          </w:p>
        </w:tc>
        <w:tc>
          <w:tcPr>
            <w:tcW w:w="15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6B7438F1">
            <w:pPr>
              <w:spacing w:before="60" w:after="60" w:line="240" w:lineRule="auto"/>
            </w:pPr>
            <w:r>
              <w:t>生效条件（签字／盖章之日）；一式几份、各方各执几份；附件与正文同等效力</w:t>
            </w:r>
          </w:p>
        </w:tc>
        <w:tc>
          <w:tcPr>
            <w:tcW w:w="12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2282389F">
            <w:pPr>
              <w:spacing w:before="60" w:after="60" w:line="240" w:lineRule="auto"/>
            </w:pPr>
            <w:r>
              <w:t>份数不足导致某方无原件；附件效力不清会被主张不构成合同内容</w:t>
            </w:r>
          </w:p>
        </w:tc>
      </w:tr>
    </w:tbl>
    <w:p w14:paraId="04D8CDE6"/>
    <w:p w14:paraId="6AED3DBC">
      <w:pPr>
        <w:spacing w:before="60" w:after="15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法院为什么要这样分——四个层面的收益：</w:t>
      </w:r>
      <w:r>
        <w:rPr>
          <w:rFonts w:hint="eastAsia" w:ascii="微软雅黑" w:hAnsi="微软雅黑" w:eastAsia="微软雅黑" w:cs="微软雅黑"/>
          <w:lang w:eastAsia="zh-CN"/>
        </w:rPr>
        <w:t>三条不可逾越的红线</w:t>
      </w:r>
    </w:p>
    <w:p w14:paraId="0A7A9569">
      <w:pPr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三条不可逾越的红线：</w:t>
      </w:r>
      <w:r>
        <w:t>①</w:t>
      </w:r>
      <w:r>
        <w:rPr>
          <w:rFonts w:hint="eastAsia" w:ascii="微软雅黑" w:hAnsi="微软雅黑" w:eastAsia="微软雅黑" w:cs="微软雅黑"/>
          <w:b/>
          <w:lang w:eastAsia="zh-CN"/>
        </w:rPr>
        <w:t>诉讼时效 3 年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自知道或应当知道权利受损害之日起算，超过后对方一旦提出时效抗辩，法院不再保护你的请求权，合同再完美也成废纸；</w:t>
      </w:r>
      <w:r>
        <w:t>②</w:t>
      </w:r>
      <w:r>
        <w:rPr>
          <w:rFonts w:hint="eastAsia" w:ascii="微软雅黑" w:hAnsi="微软雅黑" w:eastAsia="微软雅黑" w:cs="微软雅黑"/>
          <w:b/>
          <w:lang w:eastAsia="zh-CN"/>
        </w:rPr>
        <w:t>民间借贷利率上限＝合同成立时一年期 LPR 的 4 倍</w:t>
      </w:r>
      <w:r>
        <w:rPr>
          <w:rFonts w:hint="eastAsia" w:ascii="微软雅黑" w:hAnsi="微软雅黑" w:eastAsia="微软雅黑" w:cs="微软雅黑"/>
          <w:lang w:eastAsia="zh-CN"/>
        </w:rPr>
        <w:t>，超过部分不予支持，写高无用反留抗辩空间；</w:t>
      </w:r>
      <w:r>
        <w:t>③</w:t>
      </w:r>
      <w:r>
        <w:rPr>
          <w:rFonts w:hint="eastAsia" w:ascii="微软雅黑" w:hAnsi="微软雅黑" w:eastAsia="微软雅黑" w:cs="微软雅黑"/>
          <w:b/>
          <w:lang w:eastAsia="zh-CN"/>
        </w:rPr>
        <w:t>法院管辖与仲裁只能"二选一"</w:t>
      </w:r>
      <w:r>
        <w:rPr>
          <w:rFonts w:hint="eastAsia" w:ascii="微软雅黑" w:hAnsi="微软雅黑" w:eastAsia="微软雅黑" w:cs="微软雅黑"/>
          <w:lang w:eastAsia="zh-CN"/>
        </w:rPr>
        <w:t>，写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可起诉也可仲裁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通常无效，最终按法定管辖走，主动权丧失。</w:t>
      </w:r>
    </w:p>
    <w:p w14:paraId="64B5CCC8">
      <w:pPr>
        <w:rPr>
          <w:rFonts w:hint="eastAsia" w:ascii="微软雅黑" w:hAnsi="微软雅黑" w:eastAsia="微软雅黑" w:cs="微软雅黑"/>
          <w:b/>
          <w:color w:val="FFFFFF"/>
          <w:sz w:val="16"/>
          <w:lang w:eastAsia="zh-CN"/>
        </w:rPr>
      </w:pPr>
      <w:r>
        <w:rPr>
          <w:rFonts w:hint="eastAsia" w:ascii="微软雅黑" w:hAnsi="微软雅黑" w:eastAsia="微软雅黑" w:cs="微软雅黑"/>
          <w:b/>
          <w:color w:val="FFFFFF"/>
          <w:sz w:val="16"/>
          <w:lang w:eastAsia="zh-CN"/>
        </w:rPr>
        <w:br w:type="page"/>
      </w:r>
    </w:p>
    <w:p w14:paraId="3E754A06">
      <w:pPr>
        <w:pStyle w:val="3"/>
        <w:jc w:val="center"/>
      </w:pPr>
      <w:r>
        <w:rPr>
          <w:rFonts w:hint="eastAsia" w:ascii="微软雅黑" w:hAnsi="微软雅黑" w:eastAsia="微软雅黑" w:cs="微软雅黑"/>
          <w:b/>
          <w:color w:val="FFFFFF"/>
          <w:sz w:val="16"/>
          <w:lang w:eastAsia="zh-CN"/>
        </w:rPr>
        <w:t>二、高标准起诉状内容</w:t>
      </w:r>
      <w:r>
        <w:rPr>
          <w:rFonts w:hint="eastAsia" w:ascii="微软雅黑" w:hAnsi="微软雅黑" w:eastAsia="微软雅黑" w:cs="微软雅黑"/>
          <w:b/>
          <w:color w:val="FFFFFF"/>
          <w:sz w:val="16"/>
          <w:lang w:val="en-US" w:eastAsia="zh-CN"/>
        </w:rPr>
        <w:t>起诉状</w:t>
      </w:r>
      <w:r>
        <w:rPr>
          <w:rFonts w:hint="eastAsia" w:ascii="微软雅黑" w:hAnsi="微软雅黑" w:eastAsia="微软雅黑" w:cs="微软雅黑"/>
          <w:color w:val="0F2B46"/>
          <w:sz w:val="23"/>
          <w:lang w:val="en-US" w:eastAsia="zh-CN"/>
        </w:rPr>
        <w:t>起诉状</w:t>
      </w:r>
    </w:p>
    <w:p w14:paraId="3EE7E07A">
      <w:pPr>
        <w:pStyle w:val="4"/>
        <w:rPr>
          <w:rFonts w:hint="default"/>
          <w:lang w:val="en-US"/>
        </w:rPr>
      </w:pPr>
    </w:p>
    <w:p w14:paraId="0F6CA72B">
      <w:pPr>
        <w:jc w:val="both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b/>
          <w:color w:val="14395C"/>
          <w:lang w:eastAsia="zh-CN"/>
        </w:rPr>
        <w:t>本质：</w:t>
      </w:r>
      <w:r>
        <w:rPr>
          <w:rFonts w:hint="eastAsia" w:ascii="微软雅黑" w:hAnsi="微软雅黑" w:eastAsia="微软雅黑" w:cs="微软雅黑"/>
          <w:lang w:eastAsia="zh-CN"/>
        </w:rPr>
        <w:t>起诉状是向法院提交的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启动诉讼的书面请求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，只须让法院看懂三件事</w:t>
      </w:r>
      <w:r>
        <w:t>——</w:t>
      </w:r>
      <w:r>
        <w:rPr>
          <w:rFonts w:hint="eastAsia" w:ascii="微软雅黑" w:hAnsi="微软雅黑" w:eastAsia="微软雅黑" w:cs="微软雅黑"/>
          <w:b/>
          <w:lang w:eastAsia="zh-CN"/>
        </w:rPr>
        <w:t>你是谁、你要什么、你为什么这么要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2A140ACF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《民事诉讼法》第</w:t>
      </w:r>
      <w:r>
        <w:t xml:space="preserve"> 122 </w:t>
      </w:r>
      <w:r>
        <w:rPr>
          <w:rFonts w:hint="eastAsia" w:ascii="微软雅黑" w:hAnsi="微软雅黑" w:eastAsia="微软雅黑" w:cs="微软雅黑"/>
          <w:lang w:eastAsia="zh-CN"/>
        </w:rPr>
        <w:t>条规定起诉四条件，第</w:t>
      </w:r>
      <w:r>
        <w:t xml:space="preserve"> 124 </w:t>
      </w:r>
      <w:r>
        <w:rPr>
          <w:rFonts w:hint="eastAsia" w:ascii="微软雅黑" w:hAnsi="微软雅黑" w:eastAsia="微软雅黑" w:cs="微软雅黑"/>
          <w:lang w:eastAsia="zh-CN"/>
        </w:rPr>
        <w:t>条规定起诉状应记明的四类事项，即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好起诉状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的法定最低标准。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"/>
        <w:gridCol w:w="1092"/>
        <w:gridCol w:w="3865"/>
        <w:gridCol w:w="3193"/>
      </w:tblGrid>
      <w:tr w14:paraId="0E715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" w:type="pct"/>
            <w:tcBorders>
              <w:top w:val="single" w:color="1C4A75" w:sz="6" w:space="0"/>
              <w:left w:val="single" w:color="1C4A75" w:sz="6" w:space="0"/>
              <w:bottom w:val="single" w:color="1C4A75" w:sz="6" w:space="0"/>
              <w:right w:val="single" w:color="1C4A75" w:sz="6" w:space="0"/>
            </w:tcBorders>
            <w:shd w:val="clear" w:color="auto" w:fill="1C4A75"/>
            <w:tcMar>
              <w:top w:w="27" w:type="dxa"/>
              <w:left w:w="45" w:type="dxa"/>
              <w:bottom w:w="27" w:type="dxa"/>
              <w:right w:w="45" w:type="dxa"/>
            </w:tcMar>
            <w:vAlign w:val="center"/>
          </w:tcPr>
          <w:p w14:paraId="1E78EE03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650" w:type="pct"/>
            <w:tcBorders>
              <w:top w:val="single" w:color="1C4A75" w:sz="6" w:space="0"/>
              <w:left w:val="single" w:color="1C4A75" w:sz="6" w:space="0"/>
              <w:bottom w:val="single" w:color="1C4A75" w:sz="6" w:space="0"/>
              <w:right w:val="single" w:color="1C4A75" w:sz="6" w:space="0"/>
            </w:tcBorders>
            <w:shd w:val="clear" w:color="auto" w:fill="1C4A75"/>
            <w:tcMar>
              <w:top w:w="27" w:type="dxa"/>
              <w:left w:w="45" w:type="dxa"/>
              <w:bottom w:w="27" w:type="dxa"/>
              <w:right w:w="45" w:type="dxa"/>
            </w:tcMar>
            <w:vAlign w:val="center"/>
          </w:tcPr>
          <w:p w14:paraId="20B60CED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部分</w:t>
            </w:r>
          </w:p>
        </w:tc>
        <w:tc>
          <w:tcPr>
            <w:tcW w:w="2300" w:type="pct"/>
            <w:tcBorders>
              <w:top w:val="single" w:color="1C4A75" w:sz="6" w:space="0"/>
              <w:left w:val="single" w:color="1C4A75" w:sz="6" w:space="0"/>
              <w:bottom w:val="single" w:color="1C4A75" w:sz="6" w:space="0"/>
              <w:right w:val="single" w:color="1C4A75" w:sz="6" w:space="0"/>
            </w:tcBorders>
            <w:shd w:val="clear" w:color="auto" w:fill="1C4A75"/>
            <w:tcMar>
              <w:top w:w="27" w:type="dxa"/>
              <w:left w:w="45" w:type="dxa"/>
              <w:bottom w:w="27" w:type="dxa"/>
              <w:right w:w="45" w:type="dxa"/>
            </w:tcMar>
            <w:vAlign w:val="center"/>
          </w:tcPr>
          <w:p w14:paraId="4D8A9FA2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必须包含的内容</w:t>
            </w:r>
          </w:p>
        </w:tc>
        <w:tc>
          <w:tcPr>
            <w:tcW w:w="1900" w:type="pct"/>
            <w:tcBorders>
              <w:top w:val="single" w:color="1C4A75" w:sz="6" w:space="0"/>
              <w:left w:val="single" w:color="1C4A75" w:sz="6" w:space="0"/>
              <w:bottom w:val="single" w:color="1C4A75" w:sz="6" w:space="0"/>
              <w:right w:val="single" w:color="1C4A75" w:sz="6" w:space="0"/>
            </w:tcBorders>
            <w:shd w:val="clear" w:color="auto" w:fill="1C4A75"/>
            <w:tcMar>
              <w:top w:w="27" w:type="dxa"/>
              <w:left w:w="45" w:type="dxa"/>
              <w:bottom w:w="27" w:type="dxa"/>
              <w:right w:w="45" w:type="dxa"/>
            </w:tcMar>
            <w:vAlign w:val="center"/>
          </w:tcPr>
          <w:p w14:paraId="5BBF1E1C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常见错误</w:t>
            </w:r>
          </w:p>
        </w:tc>
      </w:tr>
      <w:tr w14:paraId="1BDDE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3581151A">
            <w:pPr>
              <w:spacing w:before="60" w:after="60" w:line="240" w:lineRule="auto"/>
            </w:pPr>
            <w:r>
              <w:t>1</w:t>
            </w:r>
          </w:p>
        </w:tc>
        <w:tc>
          <w:tcPr>
            <w:tcW w:w="6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246E43C9">
            <w:pPr>
              <w:spacing w:before="60" w:after="60" w:line="240" w:lineRule="auto"/>
            </w:pPr>
            <w:r>
              <w:rPr>
                <w:b/>
              </w:rPr>
              <w:t>标题</w:t>
            </w:r>
          </w:p>
        </w:tc>
        <w:tc>
          <w:tcPr>
            <w:tcW w:w="23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455B8D5">
            <w:pPr>
              <w:spacing w:before="60" w:after="60" w:line="240" w:lineRule="auto"/>
            </w:pPr>
            <w:r>
              <w:t>居中写 " 民事起诉状 " 。</w:t>
            </w:r>
          </w:p>
        </w:tc>
        <w:tc>
          <w:tcPr>
            <w:tcW w:w="19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0EB791DF">
            <w:pPr>
              <w:spacing w:before="60" w:after="60" w:line="240" w:lineRule="auto"/>
            </w:pPr>
            <w:r>
              <w:t>写成 " 起诉书 " （刑事自诉才用 " 刑事自诉状 " ）。</w:t>
            </w:r>
          </w:p>
        </w:tc>
      </w:tr>
      <w:tr w14:paraId="7B27D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06B76EEC">
            <w:pPr>
              <w:spacing w:before="60" w:after="60" w:line="240" w:lineRule="auto"/>
            </w:pPr>
            <w:r>
              <w:t>2</w:t>
            </w:r>
          </w:p>
        </w:tc>
        <w:tc>
          <w:tcPr>
            <w:tcW w:w="6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21A93903">
            <w:pPr>
              <w:spacing w:before="60" w:after="60" w:line="240" w:lineRule="auto"/>
            </w:pPr>
            <w:r>
              <w:rPr>
                <w:b/>
              </w:rPr>
              <w:t>原告信息</w:t>
            </w:r>
          </w:p>
        </w:tc>
        <w:tc>
          <w:tcPr>
            <w:tcW w:w="23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74E7B1E2">
            <w:pPr>
              <w:spacing w:before="60" w:after="60" w:line="240" w:lineRule="auto"/>
            </w:pPr>
            <w:r>
              <w:t xml:space="preserve">自然人：姓名、性别、民族、出生日期、身份证号、住址、联系方式。法人：名称、住所地、统一社会信用代码、法定代表人及职务、联系方式。（ </w:t>
            </w:r>
            <w:r>
              <w:rPr>
                <w:b/>
              </w:rPr>
              <w:t>被告信息须能确定唯一主体</w:t>
            </w:r>
            <w:r>
              <w:t xml:space="preserve"> ）</w:t>
            </w:r>
          </w:p>
        </w:tc>
        <w:tc>
          <w:tcPr>
            <w:tcW w:w="19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2C7F1EEE">
            <w:pPr>
              <w:spacing w:before="60" w:after="60" w:line="240" w:lineRule="auto"/>
            </w:pPr>
            <w:r>
              <w:t>只写姓名不写身份证号；法人漏写统一社会信用代码。</w:t>
            </w:r>
          </w:p>
        </w:tc>
      </w:tr>
      <w:tr w14:paraId="227BE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0CC0928B">
            <w:pPr>
              <w:spacing w:before="60" w:after="60" w:line="240" w:lineRule="auto"/>
            </w:pPr>
            <w:r>
              <w:t>3</w:t>
            </w:r>
          </w:p>
        </w:tc>
        <w:tc>
          <w:tcPr>
            <w:tcW w:w="6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6527E0AD">
            <w:pPr>
              <w:spacing w:before="60" w:after="60" w:line="240" w:lineRule="auto"/>
            </w:pPr>
            <w:r>
              <w:rPr>
                <w:b/>
              </w:rPr>
              <w:t>被告信息</w:t>
            </w:r>
          </w:p>
        </w:tc>
        <w:tc>
          <w:tcPr>
            <w:tcW w:w="23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B95B1D3">
            <w:pPr>
              <w:spacing w:before="60" w:after="60" w:line="240" w:lineRule="auto"/>
            </w:pPr>
            <w:r>
              <w:t>自然人：姓名、性别、出生日期、身份证号、住所地、联系方式。法人：名称、住所地、统一社会信用代码、法定代表人及职务。</w:t>
            </w:r>
          </w:p>
        </w:tc>
        <w:tc>
          <w:tcPr>
            <w:tcW w:w="19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69A32BE1">
            <w:pPr>
              <w:spacing w:before="60" w:after="60" w:line="240" w:lineRule="auto"/>
            </w:pPr>
            <w:r>
              <w:t>信息不全导致无法送达；公司写简称而非工商登记全称。</w:t>
            </w:r>
          </w:p>
        </w:tc>
      </w:tr>
      <w:tr w14:paraId="2A8DE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3D4E722A">
            <w:pPr>
              <w:spacing w:before="60" w:after="60" w:line="240" w:lineRule="auto"/>
            </w:pPr>
            <w:r>
              <w:t>4</w:t>
            </w:r>
          </w:p>
        </w:tc>
        <w:tc>
          <w:tcPr>
            <w:tcW w:w="6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48BAE5E9">
            <w:pPr>
              <w:spacing w:before="60" w:after="60" w:line="240" w:lineRule="auto"/>
            </w:pPr>
            <w:r>
              <w:rPr>
                <w:b/>
              </w:rPr>
              <w:t>委托代理人</w:t>
            </w:r>
            <w:r>
              <w:t xml:space="preserve"> </w:t>
            </w:r>
            <w:r>
              <w:rPr>
                <w:b/>
                <w:color w:val="3A5A78"/>
                <w:sz w:val="12"/>
              </w:rPr>
              <w:t>如有</w:t>
            </w:r>
          </w:p>
        </w:tc>
        <w:tc>
          <w:tcPr>
            <w:tcW w:w="23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2719DA03">
            <w:pPr>
              <w:spacing w:before="60" w:after="60" w:line="240" w:lineRule="auto"/>
            </w:pPr>
            <w:r>
              <w:t>代理人姓名、单位（律所）、职务、联系电话。</w:t>
            </w:r>
          </w:p>
        </w:tc>
        <w:tc>
          <w:tcPr>
            <w:tcW w:w="19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D9C286A">
            <w:pPr>
              <w:spacing w:before="60" w:after="60" w:line="240" w:lineRule="auto"/>
            </w:pPr>
            <w:r>
              <w:t>有代理人却未列明，影响后续文书送达。</w:t>
            </w:r>
          </w:p>
        </w:tc>
      </w:tr>
      <w:tr w14:paraId="3F7E7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41166862">
            <w:pPr>
              <w:spacing w:before="60" w:after="60" w:line="240" w:lineRule="auto"/>
            </w:pPr>
            <w:r>
              <w:t>5</w:t>
            </w:r>
          </w:p>
        </w:tc>
        <w:tc>
          <w:tcPr>
            <w:tcW w:w="6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31EEB0C4">
            <w:pPr>
              <w:spacing w:before="60" w:after="60" w:line="240" w:lineRule="auto"/>
            </w:pPr>
            <w:r>
              <w:rPr>
                <w:b/>
              </w:rPr>
              <w:t>案由</w:t>
            </w:r>
          </w:p>
        </w:tc>
        <w:tc>
          <w:tcPr>
            <w:tcW w:w="23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69D31CD1">
            <w:pPr>
              <w:spacing w:before="60" w:after="60" w:line="240" w:lineRule="auto"/>
            </w:pPr>
            <w:r>
              <w:t>写明纠纷类型，如 " 民间借贷纠纷 "" 房屋租赁合同纠纷 "" 离婚纠纷 " 。</w:t>
            </w:r>
          </w:p>
        </w:tc>
        <w:tc>
          <w:tcPr>
            <w:tcW w:w="19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C4FDF96">
            <w:pPr>
              <w:spacing w:before="60" w:after="60" w:line="240" w:lineRule="auto"/>
            </w:pPr>
            <w:r>
              <w:t>漏写；或案由与实际请求不匹配。</w:t>
            </w:r>
          </w:p>
        </w:tc>
      </w:tr>
      <w:tr w14:paraId="152BA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EFED7C8">
            <w:pPr>
              <w:spacing w:before="60" w:after="60" w:line="240" w:lineRule="auto"/>
            </w:pPr>
            <w:r>
              <w:t>6</w:t>
            </w:r>
          </w:p>
        </w:tc>
        <w:tc>
          <w:tcPr>
            <w:tcW w:w="6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0CA9EBFD">
            <w:pPr>
              <w:spacing w:before="60" w:after="60" w:line="240" w:lineRule="auto"/>
            </w:pPr>
            <w:r>
              <w:rPr>
                <w:b/>
              </w:rPr>
              <w:t>诉讼请求</w:t>
            </w:r>
            <w:r>
              <w:t xml:space="preserve"> </w:t>
            </w:r>
            <w:r>
              <w:rPr>
                <w:b/>
                <w:color w:val="FFFFFF"/>
                <w:sz w:val="12"/>
              </w:rPr>
              <w:t>最关键</w:t>
            </w:r>
          </w:p>
        </w:tc>
        <w:tc>
          <w:tcPr>
            <w:tcW w:w="23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3D274A93">
            <w:pPr>
              <w:spacing w:before="60" w:after="60" w:line="240" w:lineRule="auto"/>
            </w:pPr>
            <w:r>
              <w:t xml:space="preserve">分条列明，每条须具备 </w:t>
            </w:r>
            <w:r>
              <w:rPr>
                <w:b/>
              </w:rPr>
              <w:t>三要素：给付内容＋具体数额＋计算方式</w:t>
            </w:r>
            <w:r>
              <w:t xml:space="preserve"> 。金钱请求写清基数、利率／比例、起算日、截止日；行为请求写清做什么／不做什么；抚养写清由谁抚养、抚养费金额、如何探望。</w:t>
            </w:r>
          </w:p>
        </w:tc>
        <w:tc>
          <w:tcPr>
            <w:tcW w:w="19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5B4CAD0B">
            <w:pPr>
              <w:spacing w:before="60" w:after="60" w:line="240" w:lineRule="auto"/>
            </w:pPr>
            <w:r>
              <w:t>写 " 依法判令被告承担相应责任 " （无法执行）；利息只写 " 依法计算 " 而不写基数、利率、起算日；漏写 " 诉讼费由被告承担 " 。</w:t>
            </w:r>
          </w:p>
        </w:tc>
      </w:tr>
      <w:tr w14:paraId="30725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71D8E0C7">
            <w:pPr>
              <w:spacing w:before="60" w:after="60" w:line="240" w:lineRule="auto"/>
            </w:pPr>
            <w:r>
              <w:t>7</w:t>
            </w:r>
          </w:p>
        </w:tc>
        <w:tc>
          <w:tcPr>
            <w:tcW w:w="6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39734B7F">
            <w:pPr>
              <w:spacing w:before="60" w:after="60" w:line="240" w:lineRule="auto"/>
            </w:pPr>
            <w:r>
              <w:rPr>
                <w:b/>
              </w:rPr>
              <w:t>事实与理由</w:t>
            </w:r>
          </w:p>
        </w:tc>
        <w:tc>
          <w:tcPr>
            <w:tcW w:w="23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69CCE429">
            <w:pPr>
              <w:spacing w:before="60" w:after="60" w:line="240" w:lineRule="auto"/>
            </w:pPr>
            <w:r>
              <w:t xml:space="preserve">分两段： </w:t>
            </w:r>
            <w:r>
              <w:rPr>
                <w:b/>
              </w:rPr>
              <w:t>事实</w:t>
            </w:r>
            <w:r>
              <w:t xml:space="preserve"> 按时间顺序客观陈述（关系如何建立、约定内容、对方如何违约、你如何催告、结果如何），每个节点标注对应证据； </w:t>
            </w:r>
            <w:r>
              <w:rPr>
                <w:b/>
              </w:rPr>
              <w:t>理由</w:t>
            </w:r>
            <w:r>
              <w:t xml:space="preserve"> 单独一段，援引具体法条论证为何应获支持。</w:t>
            </w:r>
          </w:p>
        </w:tc>
        <w:tc>
          <w:tcPr>
            <w:tcW w:w="19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3E0B32F8">
            <w:pPr>
              <w:spacing w:before="60" w:after="60" w:line="240" w:lineRule="auto"/>
            </w:pPr>
            <w:r>
              <w:t>大量情绪化表述而事实要素缺失；只叙述不引法条；时间线与金额前后矛盾。</w:t>
            </w:r>
          </w:p>
        </w:tc>
      </w:tr>
      <w:tr w14:paraId="78BC1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71984615">
            <w:pPr>
              <w:spacing w:before="60" w:after="60" w:line="240" w:lineRule="auto"/>
            </w:pPr>
            <w:r>
              <w:t>8</w:t>
            </w:r>
          </w:p>
        </w:tc>
        <w:tc>
          <w:tcPr>
            <w:tcW w:w="6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2E5F0150">
            <w:pPr>
              <w:spacing w:before="60" w:after="60" w:line="240" w:lineRule="auto"/>
            </w:pPr>
            <w:r>
              <w:rPr>
                <w:b/>
              </w:rPr>
              <w:t>证据与来源</w:t>
            </w:r>
          </w:p>
        </w:tc>
        <w:tc>
          <w:tcPr>
            <w:tcW w:w="23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F073746">
            <w:pPr>
              <w:spacing w:before="60" w:after="60" w:line="240" w:lineRule="auto"/>
            </w:pPr>
            <w:r>
              <w:t xml:space="preserve">列明证据名称、来源；有证人则写姓名与住所。实务中另附 </w:t>
            </w:r>
            <w:r>
              <w:rPr>
                <w:b/>
              </w:rPr>
              <w:t>证据清单</w:t>
            </w:r>
            <w:r>
              <w:t xml:space="preserve"> 。</w:t>
            </w:r>
          </w:p>
        </w:tc>
        <w:tc>
          <w:tcPr>
            <w:tcW w:w="19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222DC5A">
            <w:pPr>
              <w:spacing w:before="60" w:after="60" w:line="240" w:lineRule="auto"/>
            </w:pPr>
            <w:r>
              <w:t>只写 " 有合同为证 " 而不列清单，无法对应到具体文件。</w:t>
            </w:r>
          </w:p>
        </w:tc>
      </w:tr>
      <w:tr w14:paraId="1A5BE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7708A250">
            <w:pPr>
              <w:spacing w:before="60" w:after="60" w:line="240" w:lineRule="auto"/>
            </w:pPr>
            <w:r>
              <w:t>9</w:t>
            </w:r>
          </w:p>
        </w:tc>
        <w:tc>
          <w:tcPr>
            <w:tcW w:w="6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572CF934">
            <w:pPr>
              <w:spacing w:before="60" w:after="60" w:line="240" w:lineRule="auto"/>
            </w:pPr>
            <w:r>
              <w:rPr>
                <w:b/>
              </w:rPr>
              <w:t>落款</w:t>
            </w:r>
          </w:p>
        </w:tc>
        <w:tc>
          <w:tcPr>
            <w:tcW w:w="23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3C81F34F">
            <w:pPr>
              <w:spacing w:before="60" w:after="60" w:line="240" w:lineRule="auto"/>
            </w:pPr>
            <w:r>
              <w:t xml:space="preserve">" 此致  XX  人民法院 " ＋具状人签名／盖章＋完整日期。份数＝ </w:t>
            </w:r>
            <w:r>
              <w:rPr>
                <w:b/>
              </w:rPr>
              <w:t>被告人数＋1</w:t>
            </w:r>
            <w:r>
              <w:t xml:space="preserve"> 。</w:t>
            </w:r>
          </w:p>
        </w:tc>
        <w:tc>
          <w:tcPr>
            <w:tcW w:w="19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73613266">
            <w:pPr>
              <w:spacing w:before="60" w:after="60" w:line="240" w:lineRule="auto"/>
            </w:pPr>
            <w:r>
              <w:t>法院名称写错；只写年月不写日；份数不足。</w:t>
            </w:r>
          </w:p>
        </w:tc>
      </w:tr>
    </w:tbl>
    <w:p w14:paraId="746B36EB"/>
    <w:p w14:paraId="0C99CB87">
      <w:pPr>
        <w:pStyle w:val="5"/>
      </w:pPr>
      <w:r>
        <w:rPr>
          <w:rFonts w:hint="eastAsia" w:ascii="微软雅黑" w:hAnsi="微软雅黑" w:eastAsia="微软雅黑" w:cs="微软雅黑"/>
          <w:b/>
          <w:color w:val="14395C"/>
          <w:sz w:val="14"/>
          <w:lang w:eastAsia="zh-CN"/>
        </w:rPr>
        <w:t>六条"高标准"标准（前后对比）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2"/>
        <w:gridCol w:w="3445"/>
        <w:gridCol w:w="3865"/>
      </w:tblGrid>
      <w:tr w14:paraId="70837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1C4A75" w:sz="6" w:space="0"/>
              <w:left w:val="single" w:color="1C4A75" w:sz="6" w:space="0"/>
              <w:bottom w:val="single" w:color="1C4A75" w:sz="6" w:space="0"/>
              <w:right w:val="single" w:color="1C4A75" w:sz="6" w:space="0"/>
            </w:tcBorders>
            <w:shd w:val="clear" w:color="auto" w:fill="1C4A75"/>
            <w:tcMar>
              <w:top w:w="27" w:type="dxa"/>
              <w:left w:w="45" w:type="dxa"/>
              <w:bottom w:w="27" w:type="dxa"/>
              <w:right w:w="45" w:type="dxa"/>
            </w:tcMar>
            <w:vAlign w:val="center"/>
          </w:tcPr>
          <w:p w14:paraId="59994B52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标准</w:t>
            </w:r>
          </w:p>
        </w:tc>
        <w:tc>
          <w:tcPr>
            <w:tcW w:w="2050" w:type="pct"/>
            <w:tcBorders>
              <w:top w:val="single" w:color="1C4A75" w:sz="6" w:space="0"/>
              <w:left w:val="single" w:color="1C4A75" w:sz="6" w:space="0"/>
              <w:bottom w:val="single" w:color="1C4A75" w:sz="6" w:space="0"/>
              <w:right w:val="single" w:color="1C4A75" w:sz="6" w:space="0"/>
            </w:tcBorders>
            <w:shd w:val="clear" w:color="auto" w:fill="1C4A75"/>
            <w:tcMar>
              <w:top w:w="27" w:type="dxa"/>
              <w:left w:w="45" w:type="dxa"/>
              <w:bottom w:w="27" w:type="dxa"/>
              <w:right w:w="45" w:type="dxa"/>
            </w:tcMar>
            <w:vAlign w:val="center"/>
          </w:tcPr>
          <w:p w14:paraId="325D32B2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不达标写法</w:t>
            </w:r>
          </w:p>
        </w:tc>
        <w:tc>
          <w:tcPr>
            <w:tcW w:w="2300" w:type="pct"/>
            <w:tcBorders>
              <w:top w:val="single" w:color="1C4A75" w:sz="6" w:space="0"/>
              <w:left w:val="single" w:color="1C4A75" w:sz="6" w:space="0"/>
              <w:bottom w:val="single" w:color="1C4A75" w:sz="6" w:space="0"/>
              <w:right w:val="single" w:color="1C4A75" w:sz="6" w:space="0"/>
            </w:tcBorders>
            <w:shd w:val="clear" w:color="auto" w:fill="1C4A75"/>
            <w:tcMar>
              <w:top w:w="27" w:type="dxa"/>
              <w:left w:w="45" w:type="dxa"/>
              <w:bottom w:w="27" w:type="dxa"/>
              <w:right w:w="45" w:type="dxa"/>
            </w:tcMar>
            <w:vAlign w:val="center"/>
          </w:tcPr>
          <w:p w14:paraId="18CF353B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高标准写法</w:t>
            </w:r>
          </w:p>
        </w:tc>
      </w:tr>
      <w:tr w14:paraId="45FD3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43310A07">
            <w:pPr>
              <w:spacing w:before="60" w:after="60" w:line="240" w:lineRule="auto"/>
            </w:pPr>
            <w:r>
              <w:rPr>
                <w:b/>
              </w:rPr>
              <w:t>①请求三要素齐全</w:t>
            </w:r>
          </w:p>
        </w:tc>
        <w:tc>
          <w:tcPr>
            <w:tcW w:w="20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6E075A0B">
            <w:pPr>
              <w:spacing w:before="60" w:after="60" w:line="240" w:lineRule="auto"/>
            </w:pPr>
            <w:r>
              <w:t>" 依法判令被告偿还借款及利息。 "</w:t>
            </w:r>
          </w:p>
        </w:tc>
        <w:tc>
          <w:tcPr>
            <w:tcW w:w="23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8819FA5">
            <w:pPr>
              <w:spacing w:before="60" w:after="60" w:line="240" w:lineRule="auto"/>
            </w:pPr>
            <w:r>
              <w:t xml:space="preserve">" 一、判令偿还本金  100,000  元；二、判令支付利息，以  100,000  元为基数，自  2024-03-01  起至 </w:t>
            </w:r>
            <w:r>
              <w:rPr>
                <w:b/>
              </w:rPr>
              <w:t>实际清偿之日止</w:t>
            </w:r>
            <w:r>
              <w:t xml:space="preserve"> ，按年利率  13.8%  计算，暂计至  2026-09-22  为  34,500  元；三、判令支付实现债权的费用（律师费  8,000  元、保全费  1,020  元）；四、诉讼费由被告承担。 "</w:t>
            </w:r>
          </w:p>
        </w:tc>
      </w:tr>
      <w:tr w14:paraId="44FC8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4B49B553">
            <w:pPr>
              <w:spacing w:before="60" w:after="60" w:line="240" w:lineRule="auto"/>
            </w:pPr>
            <w:r>
              <w:rPr>
                <w:b/>
              </w:rPr>
              <w:t>②事实按时间轴</w:t>
            </w:r>
          </w:p>
        </w:tc>
        <w:tc>
          <w:tcPr>
            <w:tcW w:w="20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8A8C220">
            <w:pPr>
              <w:spacing w:before="60" w:after="60" w:line="240" w:lineRule="auto"/>
            </w:pPr>
            <w:r>
              <w:t>" 被告欠钱不还，态度恶劣，多次催要无果，被告躲避原告。 "</w:t>
            </w:r>
          </w:p>
        </w:tc>
        <w:tc>
          <w:tcPr>
            <w:tcW w:w="23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4863971D">
            <w:pPr>
              <w:spacing w:before="60" w:after="60" w:line="240" w:lineRule="auto"/>
            </w:pPr>
            <w:r>
              <w:t>"2024-02-20  签订《借款合同》（证据一）； 02-22  银行转账实际交付  100,000  元（证据二）； 2025-02-21  到期未还； 2025  年  3  月至  2026  年  6  月经微信、催告函催收四次（证据三），被告均未履行。 "</w:t>
            </w:r>
          </w:p>
        </w:tc>
      </w:tr>
      <w:tr w14:paraId="72235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32F2AD7E">
            <w:pPr>
              <w:spacing w:before="60" w:after="60" w:line="240" w:lineRule="auto"/>
            </w:pPr>
            <w:r>
              <w:rPr>
                <w:b/>
              </w:rPr>
              <w:t>③援引具体条文</w:t>
            </w:r>
          </w:p>
        </w:tc>
        <w:tc>
          <w:tcPr>
            <w:tcW w:w="20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22909426">
            <w:pPr>
              <w:spacing w:before="60" w:after="60" w:line="240" w:lineRule="auto"/>
            </w:pPr>
            <w:r>
              <w:t>" 根据《民法典》的相关规定，被告构成违约。 "</w:t>
            </w:r>
          </w:p>
        </w:tc>
        <w:tc>
          <w:tcPr>
            <w:tcW w:w="23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3876B8BC">
            <w:pPr>
              <w:spacing w:before="60" w:after="60" w:line="240" w:lineRule="auto"/>
            </w:pPr>
            <w:r>
              <w:t xml:space="preserve">" 根据《民法典》 </w:t>
            </w:r>
            <w:r>
              <w:rPr>
                <w:b/>
              </w:rPr>
              <w:t>第 667、675、676 条</w:t>
            </w:r>
            <w:r>
              <w:t xml:space="preserve"> ，借款人应按约定期限返还借款并支付利息；根据 </w:t>
            </w:r>
            <w:r>
              <w:rPr>
                <w:b/>
              </w:rPr>
              <w:t>第 577 条</w:t>
            </w:r>
            <w:r>
              <w:t xml:space="preserve"> ，被告应承担继续履行、赔偿损失等违约责任。 " （写到 " 第  X  条 " ）</w:t>
            </w:r>
          </w:p>
        </w:tc>
      </w:tr>
      <w:tr w14:paraId="34D7F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620BE3EA">
            <w:pPr>
              <w:spacing w:before="60" w:after="60" w:line="240" w:lineRule="auto"/>
            </w:pPr>
            <w:r>
              <w:rPr>
                <w:b/>
              </w:rPr>
              <w:t>④主动分配举证责任</w:t>
            </w:r>
          </w:p>
        </w:tc>
        <w:tc>
          <w:tcPr>
            <w:tcW w:w="20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724A2155">
            <w:pPr>
              <w:spacing w:before="60" w:after="60" w:line="240" w:lineRule="auto"/>
            </w:pPr>
            <w:r>
              <w:t>不提及举证责任，只等对方举证。</w:t>
            </w:r>
          </w:p>
        </w:tc>
        <w:tc>
          <w:tcPr>
            <w:tcW w:w="23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00CA4F7B">
            <w:pPr>
              <w:spacing w:before="60" w:after="60" w:line="240" w:lineRule="auto"/>
            </w:pPr>
            <w:r>
              <w:t xml:space="preserve">" 根据《民事诉讼法》第  67  条，被告主张 ' 损坏系原告造成 ' ， </w:t>
            </w:r>
            <w:r>
              <w:rPr>
                <w:b/>
              </w:rPr>
              <w:t>举证责任在被告</w:t>
            </w:r>
            <w:r>
              <w:t xml:space="preserve"> ；根据《商品房屋租赁管理办法》第  9  条，出租人负有维修义务。 " 在起诉阶段即锁定有利焦点。</w:t>
            </w:r>
          </w:p>
        </w:tc>
      </w:tr>
      <w:tr w14:paraId="74586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550AC4BD">
            <w:pPr>
              <w:spacing w:before="60" w:after="60" w:line="240" w:lineRule="auto"/>
            </w:pPr>
            <w:r>
              <w:rPr>
                <w:b/>
              </w:rPr>
              <w:t>⑤说明管辖依据</w:t>
            </w:r>
          </w:p>
        </w:tc>
        <w:tc>
          <w:tcPr>
            <w:tcW w:w="20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5E29752C">
            <w:pPr>
              <w:spacing w:before="60" w:after="60" w:line="240" w:lineRule="auto"/>
            </w:pPr>
            <w:r>
              <w:t>不写管辖，直接提交。</w:t>
            </w:r>
          </w:p>
        </w:tc>
        <w:tc>
          <w:tcPr>
            <w:tcW w:w="23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3E15ADCD">
            <w:pPr>
              <w:spacing w:before="60" w:after="60" w:line="240" w:lineRule="auto"/>
            </w:pPr>
            <w:r>
              <w:t>有约定管辖的写明该条款；按合同履行地或被告住所地起诉的，简要说明依据，避免立案阶段因管辖被退回。</w:t>
            </w:r>
          </w:p>
        </w:tc>
      </w:tr>
      <w:tr w14:paraId="6C4A2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4A7F27BE">
            <w:pPr>
              <w:spacing w:before="60" w:after="60" w:line="240" w:lineRule="auto"/>
            </w:pPr>
            <w:r>
              <w:rPr>
                <w:b/>
              </w:rPr>
              <w:t>⑥语言克制</w:t>
            </w:r>
          </w:p>
        </w:tc>
        <w:tc>
          <w:tcPr>
            <w:tcW w:w="20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4BC0A5A9">
            <w:pPr>
              <w:spacing w:before="60" w:after="60" w:line="240" w:lineRule="auto"/>
            </w:pPr>
            <w:r>
              <w:t>" 被告极其不讲信用，品行恶劣，恶意逃避债务，令人愤慨，恳请法院严惩。 "</w:t>
            </w:r>
          </w:p>
        </w:tc>
        <w:tc>
          <w:tcPr>
            <w:tcW w:w="23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5F64E8CE">
            <w:pPr>
              <w:spacing w:before="60" w:after="60" w:line="240" w:lineRule="auto"/>
            </w:pPr>
            <w:r>
              <w:t xml:space="preserve">" 被告在借款到期后经四次催告仍未履行还款义务。 " </w:t>
            </w:r>
            <w:r>
              <w:rPr>
                <w:b/>
              </w:rPr>
              <w:t>原则：每个形容词都应能被一条证据替换。</w:t>
            </w:r>
          </w:p>
        </w:tc>
      </w:tr>
    </w:tbl>
    <w:p w14:paraId="721D9AE8">
      <w:pPr>
        <w:pStyle w:val="3"/>
        <w:jc w:val="center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color w:val="0F2B46"/>
          <w:sz w:val="23"/>
          <w:lang w:val="en-US" w:eastAsia="zh-CN"/>
        </w:rPr>
        <w:t>要素式/非要素式起诉状</w:t>
      </w:r>
    </w:p>
    <w:p w14:paraId="714E0D1A">
      <w:pPr>
        <w:jc w:val="both"/>
      </w:pPr>
      <w:r>
        <w:rPr>
          <w:rFonts w:hint="eastAsia" w:ascii="微软雅黑" w:hAnsi="微软雅黑" w:eastAsia="微软雅黑" w:cs="微软雅黑"/>
          <w:b/>
          <w:color w:val="14395C"/>
          <w:lang w:eastAsia="zh-CN"/>
        </w:rPr>
        <w:t>一句话回答：</w:t>
      </w:r>
      <w:r>
        <w:rPr>
          <w:rFonts w:hint="eastAsia" w:ascii="微软雅黑" w:hAnsi="微软雅黑" w:eastAsia="微软雅黑" w:cs="微软雅黑"/>
          <w:lang w:eastAsia="zh-CN"/>
        </w:rPr>
        <w:t>因为大量常见纠纷中，当事人说不清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必备要素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，法官也要花大量时间从长篇文字里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找要素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lang w:eastAsia="zh-CN"/>
        </w:rPr>
        <w:t>要素式的本质是把"法官需要的信息"提前结构化，让当事人好填、法官好看、程序好跑。</w:t>
      </w:r>
      <w:r>
        <w:rPr>
          <w:rFonts w:hint="eastAsia" w:ascii="微软雅黑" w:hAnsi="微软雅黑" w:eastAsia="微软雅黑" w:cs="微软雅黑"/>
          <w:lang w:eastAsia="zh-CN"/>
        </w:rPr>
        <w:t>它不是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简易版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，而是司法流水线的标准化改造。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3697"/>
        <w:gridCol w:w="3781"/>
      </w:tblGrid>
      <w:tr w14:paraId="376CC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pct"/>
            <w:tcBorders>
              <w:top w:val="single" w:color="1C4A75" w:sz="6" w:space="0"/>
              <w:left w:val="single" w:color="1C4A75" w:sz="6" w:space="0"/>
              <w:bottom w:val="single" w:color="1C4A75" w:sz="6" w:space="0"/>
              <w:right w:val="single" w:color="1C4A75" w:sz="6" w:space="0"/>
            </w:tcBorders>
            <w:shd w:val="clear" w:color="auto" w:fill="1C4A75"/>
            <w:tcMar>
              <w:top w:w="27" w:type="dxa"/>
              <w:left w:w="45" w:type="dxa"/>
              <w:bottom w:w="27" w:type="dxa"/>
              <w:right w:w="45" w:type="dxa"/>
            </w:tcMar>
            <w:vAlign w:val="center"/>
          </w:tcPr>
          <w:p w14:paraId="711CAAB4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维度</w:t>
            </w:r>
          </w:p>
        </w:tc>
        <w:tc>
          <w:tcPr>
            <w:tcW w:w="2200" w:type="pct"/>
            <w:tcBorders>
              <w:top w:val="single" w:color="1C4A75" w:sz="6" w:space="0"/>
              <w:left w:val="single" w:color="1C4A75" w:sz="6" w:space="0"/>
              <w:bottom w:val="single" w:color="1C4A75" w:sz="6" w:space="0"/>
              <w:right w:val="single" w:color="1C4A75" w:sz="6" w:space="0"/>
            </w:tcBorders>
            <w:shd w:val="clear" w:color="auto" w:fill="1C4A75"/>
            <w:tcMar>
              <w:top w:w="27" w:type="dxa"/>
              <w:left w:w="45" w:type="dxa"/>
              <w:bottom w:w="27" w:type="dxa"/>
              <w:right w:w="45" w:type="dxa"/>
            </w:tcMar>
            <w:vAlign w:val="center"/>
          </w:tcPr>
          <w:p w14:paraId="3A2B082B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要素式起诉状</w:t>
            </w:r>
          </w:p>
        </w:tc>
        <w:tc>
          <w:tcPr>
            <w:tcW w:w="2250" w:type="pct"/>
            <w:tcBorders>
              <w:top w:val="single" w:color="1C4A75" w:sz="6" w:space="0"/>
              <w:left w:val="single" w:color="1C4A75" w:sz="6" w:space="0"/>
              <w:bottom w:val="single" w:color="1C4A75" w:sz="6" w:space="0"/>
              <w:right w:val="single" w:color="1C4A75" w:sz="6" w:space="0"/>
            </w:tcBorders>
            <w:shd w:val="clear" w:color="auto" w:fill="1C4A75"/>
            <w:tcMar>
              <w:top w:w="27" w:type="dxa"/>
              <w:left w:w="45" w:type="dxa"/>
              <w:bottom w:w="27" w:type="dxa"/>
              <w:right w:w="45" w:type="dxa"/>
            </w:tcMar>
            <w:vAlign w:val="center"/>
          </w:tcPr>
          <w:p w14:paraId="63B874EA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非要素式起诉状</w:t>
            </w:r>
          </w:p>
        </w:tc>
      </w:tr>
      <w:tr w14:paraId="400FC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772331B">
            <w:pPr>
              <w:spacing w:before="60" w:after="60" w:line="240" w:lineRule="auto"/>
            </w:pPr>
            <w:r>
              <w:rPr>
                <w:b/>
              </w:rPr>
              <w:t>形式</w:t>
            </w:r>
          </w:p>
        </w:tc>
        <w:tc>
          <w:tcPr>
            <w:tcW w:w="22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0613E5FF">
            <w:pPr>
              <w:spacing w:before="60" w:after="60" w:line="240" w:lineRule="auto"/>
            </w:pPr>
            <w:r>
              <w:t>表格化。按固定栏目逐项填写，勾选项打 "√" 。官方定位： " 以列举关键要素的方式呈现 " ，仅含起诉必备内容，避免不必要的背景描述。</w:t>
            </w:r>
          </w:p>
        </w:tc>
        <w:tc>
          <w:tcPr>
            <w:tcW w:w="22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47FDD432">
            <w:pPr>
              <w:spacing w:before="60" w:after="60" w:line="240" w:lineRule="auto"/>
            </w:pPr>
            <w:r>
              <w:t>文书化。按 " 当事人 — 案由 — 诉讼请求 — 事实与理由 — 此致 " 的段落结构撰写，可自由展开。</w:t>
            </w:r>
          </w:p>
        </w:tc>
      </w:tr>
      <w:tr w14:paraId="207D8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C2C6E65">
            <w:pPr>
              <w:spacing w:before="60" w:after="60" w:line="240" w:lineRule="auto"/>
            </w:pPr>
            <w:r>
              <w:rPr>
                <w:b/>
              </w:rPr>
              <w:t>来源</w:t>
            </w:r>
          </w:p>
        </w:tc>
        <w:tc>
          <w:tcPr>
            <w:tcW w:w="22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01E00AE5">
            <w:pPr>
              <w:spacing w:before="60" w:after="60" w:line="240" w:lineRule="auto"/>
            </w:pPr>
            <w:r>
              <w:t xml:space="preserve">最高院、司法部、全国律协联合印发的 </w:t>
            </w:r>
            <w:r>
              <w:rPr>
                <w:b/>
              </w:rPr>
              <w:t>示范文本</w:t>
            </w:r>
            <w:r>
              <w:t xml:space="preserve"> ，共  67  类，自  2025  年  7  月  14  日起在全国法院全面推广使用。</w:t>
            </w:r>
          </w:p>
        </w:tc>
        <w:tc>
          <w:tcPr>
            <w:tcW w:w="22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4F6E7052">
            <w:pPr>
              <w:spacing w:before="60" w:after="60" w:line="240" w:lineRule="auto"/>
            </w:pPr>
            <w:r>
              <w:t>《民事诉讼法》第  124  条规定的法定要件＋各地法院实践惯例。</w:t>
            </w:r>
          </w:p>
        </w:tc>
      </w:tr>
      <w:tr w14:paraId="07EC7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00E05A29">
            <w:pPr>
              <w:spacing w:before="60" w:after="60" w:line="240" w:lineRule="auto"/>
            </w:pPr>
            <w:r>
              <w:rPr>
                <w:b/>
              </w:rPr>
              <w:t>设计初衷</w:t>
            </w:r>
          </w:p>
        </w:tc>
        <w:tc>
          <w:tcPr>
            <w:tcW w:w="22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43E70A25">
            <w:pPr>
              <w:spacing w:before="60" w:after="60" w:line="240" w:lineRule="auto"/>
            </w:pPr>
            <w:r>
              <w:t xml:space="preserve">把诉讼要点 " 暗藏 " 在表格栏目中， </w:t>
            </w:r>
            <w:r>
              <w:rPr>
                <w:b/>
              </w:rPr>
              <w:t>填表即完成规范陈述</w:t>
            </w:r>
            <w:r>
              <w:t xml:space="preserve"> ，减少因信息遗漏或表达不清导致的诉讼困难。</w:t>
            </w:r>
          </w:p>
        </w:tc>
        <w:tc>
          <w:tcPr>
            <w:tcW w:w="22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28C00C4">
            <w:pPr>
              <w:spacing w:before="60" w:after="60" w:line="240" w:lineRule="auto"/>
            </w:pPr>
            <w:r>
              <w:t>保留充分说理空间，适应复杂、新类型或示范文本未覆盖的纠纷。</w:t>
            </w:r>
          </w:p>
        </w:tc>
      </w:tr>
    </w:tbl>
    <w:p w14:paraId="775051C4"/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2"/>
        <w:gridCol w:w="7310"/>
      </w:tblGrid>
      <w:tr w14:paraId="433F8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1C4A75" w:sz="6" w:space="0"/>
              <w:left w:val="single" w:color="1C4A75" w:sz="6" w:space="0"/>
              <w:bottom w:val="single" w:color="1C4A75" w:sz="6" w:space="0"/>
              <w:right w:val="single" w:color="1C4A75" w:sz="6" w:space="0"/>
            </w:tcBorders>
            <w:shd w:val="clear" w:color="auto" w:fill="1C4A75"/>
            <w:tcMar>
              <w:top w:w="27" w:type="dxa"/>
              <w:left w:w="45" w:type="dxa"/>
              <w:bottom w:w="27" w:type="dxa"/>
              <w:right w:w="45" w:type="dxa"/>
            </w:tcMar>
            <w:vAlign w:val="center"/>
          </w:tcPr>
          <w:p w14:paraId="552D6CE2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受益方</w:t>
            </w:r>
          </w:p>
        </w:tc>
        <w:tc>
          <w:tcPr>
            <w:tcW w:w="4350" w:type="pct"/>
            <w:tcBorders>
              <w:top w:val="single" w:color="1C4A75" w:sz="6" w:space="0"/>
              <w:left w:val="single" w:color="1C4A75" w:sz="6" w:space="0"/>
              <w:bottom w:val="single" w:color="1C4A75" w:sz="6" w:space="0"/>
              <w:right w:val="single" w:color="1C4A75" w:sz="6" w:space="0"/>
            </w:tcBorders>
            <w:shd w:val="clear" w:color="auto" w:fill="1C4A75"/>
            <w:tcMar>
              <w:top w:w="27" w:type="dxa"/>
              <w:left w:w="45" w:type="dxa"/>
              <w:bottom w:w="27" w:type="dxa"/>
              <w:right w:w="45" w:type="dxa"/>
            </w:tcMar>
            <w:vAlign w:val="center"/>
          </w:tcPr>
          <w:p w14:paraId="57A328AC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具体收益</w:t>
            </w:r>
          </w:p>
        </w:tc>
      </w:tr>
      <w:tr w14:paraId="768AD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685B43C1">
            <w:pPr>
              <w:spacing w:before="60" w:after="60" w:line="240" w:lineRule="auto"/>
            </w:pPr>
            <w:r>
              <w:rPr>
                <w:b/>
              </w:rPr>
              <w:t>当事人</w:t>
            </w:r>
          </w:p>
        </w:tc>
        <w:tc>
          <w:tcPr>
            <w:tcW w:w="43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3CBD809C">
            <w:pPr>
              <w:spacing w:before="60" w:after="60" w:line="240" w:lineRule="auto"/>
            </w:pPr>
            <w:r>
              <w:t xml:space="preserve">① </w:t>
            </w:r>
            <w:r>
              <w:rPr>
                <w:b/>
              </w:rPr>
              <w:t>降低门槛：</w:t>
            </w:r>
            <w:r>
              <w:t xml:space="preserve"> 不必懂法律文书体例，按表填写即可完成规范起诉，不用花钱请人代写； ② </w:t>
            </w:r>
            <w:r>
              <w:rPr>
                <w:b/>
              </w:rPr>
              <w:t>防止遗漏：</w:t>
            </w:r>
            <w:r>
              <w:t xml:space="preserve"> 表格把必备事项固定下来，不易漏写利息计算方式、漏写诉讼费等，避免 " 漏请求即无法获判 " ； ③ </w:t>
            </w:r>
            <w:r>
              <w:rPr>
                <w:b/>
              </w:rPr>
              <w:t>降低成本：</w:t>
            </w:r>
            <w:r>
              <w:t xml:space="preserve"> 示范文本可线上或线下扫码一键获取，每类均附填写实例。</w:t>
            </w:r>
          </w:p>
        </w:tc>
      </w:tr>
      <w:tr w14:paraId="2C4C4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47035F63">
            <w:pPr>
              <w:spacing w:before="60" w:after="60" w:line="240" w:lineRule="auto"/>
            </w:pPr>
            <w:r>
              <w:rPr>
                <w:b/>
              </w:rPr>
              <w:t>法官</w:t>
            </w:r>
          </w:p>
        </w:tc>
        <w:tc>
          <w:tcPr>
            <w:tcW w:w="43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4BA49BDA">
            <w:pPr>
              <w:spacing w:before="60" w:after="60" w:line="240" w:lineRule="auto"/>
            </w:pPr>
            <w:r>
              <w:t xml:space="preserve">① </w:t>
            </w:r>
            <w:r>
              <w:rPr>
                <w:b/>
              </w:rPr>
              <w:t>快速抓取要素：</w:t>
            </w:r>
            <w:r>
              <w:t xml:space="preserve"> 当事人信息、诉请、事实分栏呈现，一目了然，无需从长篇叙述中 " 打捞 " 关键信息； ② </w:t>
            </w:r>
            <w:r>
              <w:rPr>
                <w:b/>
              </w:rPr>
              <w:t>便于要素比对、锁定争议焦点：</w:t>
            </w:r>
            <w:r>
              <w:t xml:space="preserve"> 可直接对照表格逐项比对，快速确定双方分歧点； ③ </w:t>
            </w:r>
            <w:r>
              <w:rPr>
                <w:b/>
              </w:rPr>
              <w:t>支撑"要素式庭审"：</w:t>
            </w:r>
            <w:r>
              <w:t xml:space="preserve"> 庭审按要素推进，提升审判效率与准确度。</w:t>
            </w:r>
          </w:p>
        </w:tc>
      </w:tr>
      <w:tr w14:paraId="6F7C7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2865FAFC">
            <w:pPr>
              <w:spacing w:before="60" w:after="60" w:line="240" w:lineRule="auto"/>
            </w:pPr>
            <w:r>
              <w:rPr>
                <w:b/>
              </w:rPr>
              <w:t>法院系统</w:t>
            </w:r>
          </w:p>
        </w:tc>
        <w:tc>
          <w:tcPr>
            <w:tcW w:w="43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3610B384">
            <w:pPr>
              <w:spacing w:before="60" w:after="60" w:line="240" w:lineRule="auto"/>
            </w:pPr>
            <w:r>
              <w:t xml:space="preserve">① </w:t>
            </w:r>
            <w:r>
              <w:rPr>
                <w:b/>
              </w:rPr>
              <w:t>立案审查标准化：</w:t>
            </w:r>
            <w:r>
              <w:t xml:space="preserve"> 快速判断是否符合受理条件，减少反复补正； ② </w:t>
            </w:r>
            <w:r>
              <w:rPr>
                <w:b/>
              </w:rPr>
              <w:t>便于繁简分流：</w:t>
            </w:r>
            <w:r>
              <w:t xml:space="preserve"> 要素齐全的简单案件快速流转，复杂案件集中资源； ③ </w:t>
            </w:r>
            <w:r>
              <w:rPr>
                <w:b/>
              </w:rPr>
              <w:t>提升裁判一致性：</w:t>
            </w:r>
            <w:r>
              <w:t xml:space="preserve"> 同类纠纷要素统一，裁判尺度更可预期。</w:t>
            </w:r>
          </w:p>
        </w:tc>
      </w:tr>
      <w:tr w14:paraId="245EFA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F65C073">
            <w:pPr>
              <w:spacing w:before="60" w:after="60" w:line="240" w:lineRule="auto"/>
            </w:pPr>
            <w:r>
              <w:rPr>
                <w:b/>
              </w:rPr>
              <w:t>诉讼秩序</w:t>
            </w:r>
          </w:p>
        </w:tc>
        <w:tc>
          <w:tcPr>
            <w:tcW w:w="435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094EB1D6">
            <w:pPr>
              <w:spacing w:before="60" w:after="60" w:line="240" w:lineRule="auto"/>
            </w:pPr>
            <w:r>
              <w:t xml:space="preserve">① </w:t>
            </w:r>
            <w:r>
              <w:rPr>
                <w:b/>
              </w:rPr>
              <w:t>倡导诚信诉讼：</w:t>
            </w:r>
            <w:r>
              <w:t xml:space="preserve"> 表格开头即提示 " 应遵守诚信原则如实填写 " ，虚假诉讼、恶意诉讼、滥用诉权将依法追责； ② </w:t>
            </w:r>
            <w:r>
              <w:rPr>
                <w:b/>
              </w:rPr>
              <w:t>便于当事人形成合理预期：</w:t>
            </w:r>
            <w:r>
              <w:t xml:space="preserve"> 要素清晰有助于预判结果，促进调解与自动履行。</w:t>
            </w:r>
          </w:p>
        </w:tc>
      </w:tr>
    </w:tbl>
    <w:p w14:paraId="7B872D49"/>
    <w:p w14:paraId="4D573713">
      <w:pPr>
        <w:jc w:val="both"/>
      </w:pPr>
      <w:r>
        <w:rPr>
          <w:rFonts w:hint="eastAsia" w:ascii="微软雅黑" w:hAnsi="微软雅黑" w:eastAsia="微软雅黑" w:cs="微软雅黑"/>
          <w:b/>
          <w:color w:val="8A6D00"/>
          <w:lang w:eastAsia="zh-CN"/>
        </w:rPr>
        <w:t>三个必须澄清的问题：</w:t>
      </w:r>
      <w:r>
        <w:t>①</w:t>
      </w:r>
      <w:r>
        <w:rPr>
          <w:rFonts w:hint="eastAsia" w:ascii="微软雅黑" w:hAnsi="微软雅黑" w:eastAsia="微软雅黑" w:cs="微软雅黑"/>
          <w:b/>
          <w:lang w:eastAsia="zh-CN"/>
        </w:rPr>
        <w:t>"在清单内"不等于"强制必须用"。</w:t>
      </w:r>
      <w:r>
        <w:rPr>
          <w:rFonts w:hint="eastAsia" w:ascii="微软雅黑" w:hAnsi="微软雅黑" w:eastAsia="微软雅黑" w:cs="微软雅黑"/>
          <w:lang w:eastAsia="zh-CN"/>
        </w:rPr>
        <w:t>示范文本定位是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示范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便利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，不是给起诉设新门槛；不在清单内的纠纷，法院不能因你未用表格而拒立案。</w:t>
      </w:r>
      <w:r>
        <w:rPr>
          <w:rFonts w:hint="eastAsia" w:ascii="微软雅黑" w:hAnsi="微软雅黑" w:eastAsia="微软雅黑" w:cs="微软雅黑"/>
          <w:b/>
          <w:lang w:eastAsia="zh-CN"/>
        </w:rPr>
        <w:t>实务做法：先按案由查清单，有对应模板就优先用</w:t>
      </w:r>
      <w:r>
        <w:rPr>
          <w:rFonts w:hint="eastAsia" w:ascii="微软雅黑" w:hAnsi="微软雅黑" w:eastAsia="微软雅黑" w:cs="微软雅黑"/>
          <w:lang w:eastAsia="zh-CN"/>
        </w:rPr>
        <w:t>（立案更快、不易被要求补正）。</w:t>
      </w:r>
      <w:r>
        <w:t>②</w:t>
      </w:r>
      <w:r>
        <w:rPr>
          <w:rFonts w:hint="eastAsia" w:ascii="微软雅黑" w:hAnsi="微软雅黑" w:eastAsia="微软雅黑" w:cs="微软雅黑"/>
          <w:b/>
          <w:lang w:eastAsia="zh-CN"/>
        </w:rPr>
        <w:t>表格内也能充分论述。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诉讼请求</w:t>
      </w:r>
      <w:r>
        <w:t>""</w:t>
      </w:r>
      <w:r>
        <w:rPr>
          <w:rFonts w:hint="eastAsia" w:ascii="微软雅黑" w:hAnsi="微软雅黑" w:eastAsia="微软雅黑" w:cs="微软雅黑"/>
          <w:lang w:eastAsia="zh-CN"/>
        </w:rPr>
        <w:t>事实与理由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栏目均标注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可完整表述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并可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另附页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</w:t>
      </w:r>
      <w:r>
        <w:t>③</w:t>
      </w:r>
      <w:r>
        <w:rPr>
          <w:rFonts w:hint="eastAsia" w:ascii="微软雅黑" w:hAnsi="微软雅黑" w:eastAsia="微软雅黑" w:cs="微软雅黑"/>
          <w:b/>
          <w:lang w:eastAsia="zh-CN"/>
        </w:rPr>
        <w:t>格式不可随意改。</w:t>
      </w:r>
      <w:r>
        <w:rPr>
          <w:rFonts w:hint="eastAsia" w:ascii="微软雅黑" w:hAnsi="微软雅黑" w:eastAsia="微软雅黑" w:cs="微软雅黑"/>
          <w:lang w:eastAsia="zh-CN"/>
        </w:rPr>
        <w:t>可复制粘贴或扩容栏目，但不得改变要素内容与格式设置。</w:t>
      </w:r>
    </w:p>
    <w:p w14:paraId="522E71B3">
      <w:pPr>
        <w:pStyle w:val="4"/>
      </w:pPr>
      <w:r>
        <w:rPr>
          <w:rFonts w:hint="eastAsia" w:ascii="微软雅黑" w:hAnsi="微软雅黑" w:eastAsia="微软雅黑" w:cs="微软雅黑"/>
          <w:b/>
          <w:color w:val="FFFFFF"/>
          <w:sz w:val="16"/>
          <w:lang w:eastAsia="zh-CN"/>
        </w:rPr>
        <w:t>四、哪些纠纷需要提交要素式起诉状</w:t>
      </w:r>
    </w:p>
    <w:p w14:paraId="6A276733">
      <w:pPr>
        <w:jc w:val="both"/>
      </w:pPr>
      <w:r>
        <w:rPr>
          <w:rFonts w:hint="eastAsia" w:ascii="微软雅黑" w:hAnsi="微软雅黑" w:eastAsia="微软雅黑" w:cs="微软雅黑"/>
          <w:b/>
          <w:color w:val="14395C"/>
          <w:lang w:eastAsia="zh-CN"/>
        </w:rPr>
        <w:t>判断规则：</w:t>
      </w:r>
      <w:r>
        <w:rPr>
          <w:rFonts w:hint="eastAsia" w:ascii="微软雅黑" w:hAnsi="微软雅黑" w:eastAsia="微软雅黑" w:cs="微软雅黑"/>
          <w:lang w:eastAsia="zh-CN"/>
        </w:rPr>
        <w:t xml:space="preserve">看案由是否落在最高院《部分案件起诉状答辩状示范文本》覆盖的 </w:t>
      </w:r>
      <w:r>
        <w:rPr>
          <w:rFonts w:hint="eastAsia" w:ascii="微软雅黑" w:hAnsi="微软雅黑" w:eastAsia="微软雅黑" w:cs="微软雅黑"/>
          <w:b/>
          <w:lang w:eastAsia="zh-CN"/>
        </w:rPr>
        <w:t>67 类</w:t>
      </w:r>
      <w:r>
        <w:rPr>
          <w:rFonts w:hint="eastAsia" w:ascii="微软雅黑" w:hAnsi="微软雅黑" w:eastAsia="微软雅黑" w:cs="微软雅黑"/>
          <w:lang w:eastAsia="zh-CN"/>
        </w:rPr>
        <w:t>清单内：在清单内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要素式；不在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非要素式。该文本由最高院、司法部、全国律协</w:t>
      </w:r>
      <w:r>
        <w:t xml:space="preserve"> 2025 </w:t>
      </w:r>
      <w:r>
        <w:rPr>
          <w:rFonts w:hint="eastAsia" w:ascii="微软雅黑" w:hAnsi="微软雅黑" w:eastAsia="微软雅黑" w:cs="微软雅黑"/>
          <w:lang w:eastAsia="zh-CN"/>
        </w:rPr>
        <w:t>年</w:t>
      </w:r>
      <w:r>
        <w:t xml:space="preserve"> 5 </w:t>
      </w:r>
      <w:r>
        <w:rPr>
          <w:rFonts w:hint="eastAsia" w:ascii="微软雅黑" w:hAnsi="微软雅黑" w:eastAsia="微软雅黑" w:cs="微软雅黑"/>
          <w:lang w:eastAsia="zh-CN"/>
        </w:rPr>
        <w:t>月联合印发（法【</w:t>
      </w:r>
      <w:r>
        <w:t>2025</w:t>
      </w:r>
      <w:r>
        <w:rPr>
          <w:rFonts w:hint="eastAsia" w:ascii="微软雅黑" w:hAnsi="微软雅黑" w:eastAsia="微软雅黑" w:cs="微软雅黑"/>
          <w:lang w:eastAsia="zh-CN"/>
        </w:rPr>
        <w:t>】</w:t>
      </w:r>
      <w:r>
        <w:t xml:space="preserve">82 </w:t>
      </w:r>
      <w:r>
        <w:rPr>
          <w:rFonts w:hint="eastAsia" w:ascii="微软雅黑" w:hAnsi="微软雅黑" w:eastAsia="微软雅黑" w:cs="微软雅黑"/>
          <w:lang w:eastAsia="zh-CN"/>
        </w:rPr>
        <w:t>号），</w:t>
      </w:r>
      <w:r>
        <w:rPr>
          <w:rFonts w:hint="eastAsia" w:ascii="微软雅黑" w:hAnsi="微软雅黑" w:eastAsia="微软雅黑" w:cs="微软雅黑"/>
          <w:b/>
          <w:lang w:eastAsia="zh-CN"/>
        </w:rPr>
        <w:t>自 2025 年 7 月 14 日起全国推广</w:t>
      </w:r>
      <w:r>
        <w:rPr>
          <w:rFonts w:hint="eastAsia" w:ascii="微软雅黑" w:hAnsi="微软雅黑" w:eastAsia="微软雅黑" w:cs="微软雅黑"/>
          <w:lang w:eastAsia="zh-CN"/>
        </w:rPr>
        <w:t>；此前</w:t>
      </w:r>
      <w:r>
        <w:t xml:space="preserve"> 2024 </w:t>
      </w:r>
      <w:r>
        <w:rPr>
          <w:rFonts w:hint="eastAsia" w:ascii="微软雅黑" w:hAnsi="微软雅黑" w:eastAsia="微软雅黑" w:cs="微软雅黑"/>
          <w:lang w:eastAsia="zh-CN"/>
        </w:rPr>
        <w:t>年</w:t>
      </w:r>
      <w:r>
        <w:t xml:space="preserve"> 3 </w:t>
      </w:r>
      <w:r>
        <w:rPr>
          <w:rFonts w:hint="eastAsia" w:ascii="微软雅黑" w:hAnsi="微软雅黑" w:eastAsia="微软雅黑" w:cs="微软雅黑"/>
          <w:lang w:eastAsia="zh-CN"/>
        </w:rPr>
        <w:t>月为第一批</w:t>
      </w:r>
      <w:r>
        <w:t xml:space="preserve"> 11 </w:t>
      </w:r>
      <w:r>
        <w:rPr>
          <w:rFonts w:hint="eastAsia" w:ascii="微软雅黑" w:hAnsi="微软雅黑" w:eastAsia="微软雅黑" w:cs="微软雅黑"/>
          <w:lang w:eastAsia="zh-CN"/>
        </w:rPr>
        <w:t>类民事纠纷试行。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36"/>
        <w:gridCol w:w="6890"/>
      </w:tblGrid>
      <w:tr w14:paraId="38656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1C4A75" w:sz="6" w:space="0"/>
              <w:left w:val="single" w:color="1C4A75" w:sz="6" w:space="0"/>
              <w:bottom w:val="single" w:color="1C4A75" w:sz="6" w:space="0"/>
              <w:right w:val="single" w:color="1C4A75" w:sz="6" w:space="0"/>
            </w:tcBorders>
            <w:shd w:val="clear" w:color="auto" w:fill="1C4A75"/>
            <w:tcMar>
              <w:top w:w="27" w:type="dxa"/>
              <w:left w:w="45" w:type="dxa"/>
              <w:bottom w:w="27" w:type="dxa"/>
              <w:right w:w="45" w:type="dxa"/>
            </w:tcMar>
            <w:vAlign w:val="center"/>
          </w:tcPr>
          <w:p w14:paraId="534AD209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领域</w:t>
            </w:r>
          </w:p>
        </w:tc>
        <w:tc>
          <w:tcPr>
            <w:tcW w:w="200" w:type="pct"/>
            <w:tcBorders>
              <w:top w:val="single" w:color="1C4A75" w:sz="6" w:space="0"/>
              <w:left w:val="single" w:color="1C4A75" w:sz="6" w:space="0"/>
              <w:bottom w:val="single" w:color="1C4A75" w:sz="6" w:space="0"/>
              <w:right w:val="single" w:color="1C4A75" w:sz="6" w:space="0"/>
            </w:tcBorders>
            <w:shd w:val="clear" w:color="auto" w:fill="1C4A75"/>
            <w:tcMar>
              <w:top w:w="27" w:type="dxa"/>
              <w:left w:w="45" w:type="dxa"/>
              <w:bottom w:w="27" w:type="dxa"/>
              <w:right w:w="45" w:type="dxa"/>
            </w:tcMar>
            <w:vAlign w:val="center"/>
          </w:tcPr>
          <w:p w14:paraId="39F0FF89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数</w:t>
            </w:r>
          </w:p>
        </w:tc>
        <w:tc>
          <w:tcPr>
            <w:tcW w:w="4100" w:type="pct"/>
            <w:tcBorders>
              <w:top w:val="single" w:color="1C4A75" w:sz="6" w:space="0"/>
              <w:left w:val="single" w:color="1C4A75" w:sz="6" w:space="0"/>
              <w:bottom w:val="single" w:color="1C4A75" w:sz="6" w:space="0"/>
              <w:right w:val="single" w:color="1C4A75" w:sz="6" w:space="0"/>
            </w:tcBorders>
            <w:shd w:val="clear" w:color="auto" w:fill="1C4A75"/>
            <w:tcMar>
              <w:top w:w="27" w:type="dxa"/>
              <w:left w:w="45" w:type="dxa"/>
              <w:bottom w:w="27" w:type="dxa"/>
              <w:right w:w="45" w:type="dxa"/>
            </w:tcMar>
            <w:vAlign w:val="center"/>
          </w:tcPr>
          <w:p w14:paraId="5A2567C8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具体案由</w:t>
            </w:r>
          </w:p>
        </w:tc>
      </w:tr>
      <w:tr w14:paraId="51C92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2E60A083">
            <w:pPr>
              <w:spacing w:before="60" w:after="60" w:line="240" w:lineRule="auto"/>
            </w:pPr>
            <w:r>
              <w:rPr>
                <w:b/>
              </w:rPr>
              <w:t>民事・商事・金融</w:t>
            </w:r>
          </w:p>
        </w:tc>
        <w:tc>
          <w:tcPr>
            <w:tcW w:w="2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39E2512A">
            <w:pPr>
              <w:spacing w:before="60" w:after="60" w:line="240" w:lineRule="auto"/>
            </w:pPr>
            <w:r>
              <w:t>17</w:t>
            </w:r>
          </w:p>
        </w:tc>
        <w:tc>
          <w:tcPr>
            <w:tcW w:w="41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77C7457F">
            <w:pPr>
              <w:spacing w:before="60" w:after="60" w:line="240" w:lineRule="auto"/>
            </w:pPr>
            <w:r>
              <w:rPr>
                <w:b/>
              </w:rPr>
              <w:t>离婚纠纷、民间借贷纠纷、房屋租赁合同纠纷</w:t>
            </w:r>
            <w:r>
              <w:t xml:space="preserve"> （本文件夹已有  3  份模板）、买卖合同纠纷、房屋买卖合同纠纷、金融借款合同纠纷、信用卡纠纷、融资租赁合同纠纷、保证保险合同纠纷、财产损失保险合同纠纷、责任保险合同纠纷、人身保险合同纠纷、证券虚假陈述责任纠纷、建设工程施工合同纠纷、机动车交通事故责任纠纷、物业服务合同纠纷、劳动争议纠纷</w:t>
            </w:r>
          </w:p>
        </w:tc>
      </w:tr>
      <w:tr w14:paraId="1AB9F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BE29736">
            <w:pPr>
              <w:spacing w:before="60" w:after="60" w:line="240" w:lineRule="auto"/>
            </w:pPr>
            <w:r>
              <w:rPr>
                <w:b/>
              </w:rPr>
              <w:t>知识产权（民事）</w:t>
            </w:r>
          </w:p>
        </w:tc>
        <w:tc>
          <w:tcPr>
            <w:tcW w:w="2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693E807F">
            <w:pPr>
              <w:spacing w:before="60" w:after="60" w:line="240" w:lineRule="auto"/>
            </w:pPr>
            <w:r>
              <w:t>9</w:t>
            </w:r>
          </w:p>
        </w:tc>
        <w:tc>
          <w:tcPr>
            <w:tcW w:w="41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7E764DBB">
            <w:pPr>
              <w:spacing w:before="60" w:after="60" w:line="240" w:lineRule="auto"/>
            </w:pPr>
            <w:r>
              <w:t>侵害著作权及邻接权纠纷、侵害商标权纠纷、侵害发明专利权纠纷、侵害外观设计专利权纠纷、侵害植物新品种权纠纷、侵害商业秘密纠纷、技术合同纠纷、不正当竞争纠纷、垄断纠纷</w:t>
            </w:r>
          </w:p>
        </w:tc>
      </w:tr>
      <w:tr w14:paraId="23A490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868612B">
            <w:pPr>
              <w:spacing w:before="60" w:after="60" w:line="240" w:lineRule="auto"/>
            </w:pPr>
            <w:r>
              <w:rPr>
                <w:b/>
              </w:rPr>
              <w:t>知识产权（行政）</w:t>
            </w:r>
          </w:p>
        </w:tc>
        <w:tc>
          <w:tcPr>
            <w:tcW w:w="2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2C9296A1">
            <w:pPr>
              <w:spacing w:before="60" w:after="60" w:line="240" w:lineRule="auto"/>
            </w:pPr>
            <w:r>
              <w:t>5</w:t>
            </w:r>
          </w:p>
        </w:tc>
        <w:tc>
          <w:tcPr>
            <w:tcW w:w="41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4A89E028">
            <w:pPr>
              <w:spacing w:before="60" w:after="60" w:line="240" w:lineRule="auto"/>
            </w:pPr>
            <w:r>
              <w:t>商标申请驳回复审纠纷、商标撤销复审行政纠纷、商标无效行政纠纷、专利申请驳回复审行政纠纷、专利无效行政纠纷</w:t>
            </w:r>
          </w:p>
        </w:tc>
      </w:tr>
      <w:tr w14:paraId="5F151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7F7CA5C8">
            <w:pPr>
              <w:spacing w:before="60" w:after="60" w:line="240" w:lineRule="auto"/>
            </w:pPr>
            <w:r>
              <w:rPr>
                <w:b/>
              </w:rPr>
              <w:t>海事海商</w:t>
            </w:r>
          </w:p>
        </w:tc>
        <w:tc>
          <w:tcPr>
            <w:tcW w:w="2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664DA911">
            <w:pPr>
              <w:spacing w:before="60" w:after="60" w:line="240" w:lineRule="auto"/>
            </w:pPr>
            <w:r>
              <w:t>4</w:t>
            </w:r>
          </w:p>
        </w:tc>
        <w:tc>
          <w:tcPr>
            <w:tcW w:w="41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33C735C3">
            <w:pPr>
              <w:spacing w:before="60" w:after="60" w:line="240" w:lineRule="auto"/>
            </w:pPr>
            <w:r>
              <w:t>船舶碰撞损害责任纠纷；海上、通海水域人身损害责任纠纷；海上、通海水域货运代理合同纠纷；船员劳务合同纠纷</w:t>
            </w:r>
          </w:p>
        </w:tc>
      </w:tr>
      <w:tr w14:paraId="774B9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270C6C1C">
            <w:pPr>
              <w:spacing w:before="60" w:after="60" w:line="240" w:lineRule="auto"/>
            </w:pPr>
            <w:r>
              <w:rPr>
                <w:b/>
              </w:rPr>
              <w:t>环境资源</w:t>
            </w:r>
          </w:p>
        </w:tc>
        <w:tc>
          <w:tcPr>
            <w:tcW w:w="2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5A44FE6B">
            <w:pPr>
              <w:spacing w:before="60" w:after="60" w:line="240" w:lineRule="auto"/>
            </w:pPr>
            <w:r>
              <w:t>3</w:t>
            </w:r>
          </w:p>
        </w:tc>
        <w:tc>
          <w:tcPr>
            <w:tcW w:w="41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50BE6D76">
            <w:pPr>
              <w:spacing w:before="60" w:after="60" w:line="240" w:lineRule="auto"/>
            </w:pPr>
            <w:r>
              <w:t>环境污染民事公益诉讼、生态破坏民事公益诉讼、生态环境损害赔偿诉讼</w:t>
            </w:r>
          </w:p>
        </w:tc>
      </w:tr>
      <w:tr w14:paraId="02B0B0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7D90BB98">
            <w:pPr>
              <w:spacing w:before="60" w:after="60" w:line="240" w:lineRule="auto"/>
            </w:pPr>
            <w:r>
              <w:rPr>
                <w:b/>
              </w:rPr>
              <w:t>行政</w:t>
            </w:r>
          </w:p>
        </w:tc>
        <w:tc>
          <w:tcPr>
            <w:tcW w:w="2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74EB23AC">
            <w:pPr>
              <w:spacing w:before="60" w:after="60" w:line="240" w:lineRule="auto"/>
            </w:pPr>
            <w:r>
              <w:t>11</w:t>
            </w:r>
          </w:p>
        </w:tc>
        <w:tc>
          <w:tcPr>
            <w:tcW w:w="41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56A861D3">
            <w:pPr>
              <w:spacing w:before="60" w:after="60" w:line="240" w:lineRule="auto"/>
            </w:pPr>
            <w:r>
              <w:t>行政处罚、行政强制执行、行政许可、国有土地上房屋征收决定、工伤保险资格或者待遇认定、政府信息公开、行政复议、行政协议、行政补偿、行政赔偿、不履行法定职责</w:t>
            </w:r>
          </w:p>
        </w:tc>
      </w:tr>
      <w:tr w14:paraId="155FF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58326A54">
            <w:pPr>
              <w:spacing w:before="60" w:after="60" w:line="240" w:lineRule="auto"/>
            </w:pPr>
            <w:r>
              <w:rPr>
                <w:b/>
              </w:rPr>
              <w:t>国家赔偿</w:t>
            </w:r>
          </w:p>
        </w:tc>
        <w:tc>
          <w:tcPr>
            <w:tcW w:w="2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4C5581B9">
            <w:pPr>
              <w:spacing w:before="60" w:after="60" w:line="240" w:lineRule="auto"/>
            </w:pPr>
            <w:r>
              <w:t>4</w:t>
            </w:r>
          </w:p>
        </w:tc>
        <w:tc>
          <w:tcPr>
            <w:tcW w:w="41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59C27FAF">
            <w:pPr>
              <w:spacing w:before="60" w:after="60" w:line="240" w:lineRule="auto"/>
            </w:pPr>
            <w:r>
              <w:t>违法刑事拘留赔偿、刑事改判无罪赔偿、怠于履行监管职责致伤致死赔偿、错误执行赔偿</w:t>
            </w:r>
          </w:p>
        </w:tc>
      </w:tr>
      <w:tr w14:paraId="4CA45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24D5CC8E">
            <w:pPr>
              <w:spacing w:before="60" w:after="60" w:line="240" w:lineRule="auto"/>
            </w:pPr>
            <w:r>
              <w:rPr>
                <w:b/>
              </w:rPr>
              <w:t>刑事自诉</w:t>
            </w:r>
          </w:p>
        </w:tc>
        <w:tc>
          <w:tcPr>
            <w:tcW w:w="2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728900CE">
            <w:pPr>
              <w:spacing w:before="60" w:after="60" w:line="240" w:lineRule="auto"/>
            </w:pPr>
            <w:r>
              <w:t>4</w:t>
            </w:r>
          </w:p>
        </w:tc>
        <w:tc>
          <w:tcPr>
            <w:tcW w:w="41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6CC6AD6C">
            <w:pPr>
              <w:spacing w:before="60" w:after="60" w:line="240" w:lineRule="auto"/>
            </w:pPr>
            <w:r>
              <w:t>侮辱案、诽谤案、重婚案、拒不执行判决裁定案（均可附带民事）</w:t>
            </w:r>
          </w:p>
        </w:tc>
      </w:tr>
      <w:tr w14:paraId="3F749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2D6E22BB">
            <w:pPr>
              <w:spacing w:before="60" w:after="60" w:line="240" w:lineRule="auto"/>
            </w:pPr>
            <w:r>
              <w:rPr>
                <w:b/>
              </w:rPr>
              <w:t>执行</w:t>
            </w:r>
          </w:p>
        </w:tc>
        <w:tc>
          <w:tcPr>
            <w:tcW w:w="2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42F34AAB">
            <w:pPr>
              <w:spacing w:before="60" w:after="60" w:line="240" w:lineRule="auto"/>
            </w:pPr>
            <w:r>
              <w:t>10</w:t>
            </w:r>
          </w:p>
        </w:tc>
        <w:tc>
          <w:tcPr>
            <w:tcW w:w="41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45EE087D">
            <w:pPr>
              <w:spacing w:before="60" w:after="60" w:line="240" w:lineRule="auto"/>
            </w:pPr>
            <w:r>
              <w:t>强制执行、暂时解除乘坐飞机／高铁限制措施、参与分配、执行担保、确认优先购买权、执行异议、执行复议、执行监督、不予执行仲裁裁决／调解书或公证债权文书</w:t>
            </w:r>
          </w:p>
        </w:tc>
      </w:tr>
    </w:tbl>
    <w:p w14:paraId="19BAB641"/>
    <w:p w14:paraId="07295CF8">
      <w:pPr>
        <w:jc w:val="both"/>
      </w:pPr>
      <w:r>
        <w:rPr>
          <w:rFonts w:hint="eastAsia" w:ascii="微软雅黑" w:hAnsi="微软雅黑" w:eastAsia="微软雅黑" w:cs="微软雅黑"/>
          <w:b/>
          <w:color w:val="8A6D00"/>
          <w:lang w:eastAsia="zh-CN"/>
        </w:rPr>
        <w:t>不在清单内的纠纷（使用非要素式）：</w:t>
      </w:r>
      <w:r>
        <w:rPr>
          <w:rFonts w:hint="eastAsia" w:ascii="微软雅黑" w:hAnsi="微软雅黑" w:eastAsia="微软雅黑" w:cs="微软雅黑"/>
          <w:lang w:eastAsia="zh-CN"/>
        </w:rPr>
        <w:t>股权转让纠纷、合伙协议纠纷、赠与合同纠纷、不当得利纠纷、名誉权纠纷、人格权纠纷、抵押合同纠纷、承揽合同纠纷、仓储合同纠纷、委托合同纠纷、公司决议效力纠纷、股东知情权纠纷、离婚后财产纠纷、继承纠纷、相邻关系纠纷、医疗服务合同纠纷等。</w:t>
      </w:r>
      <w:r>
        <w:rPr>
          <w:rFonts w:hint="eastAsia" w:ascii="微软雅黑" w:hAnsi="微软雅黑" w:eastAsia="微软雅黑" w:cs="微软雅黑"/>
          <w:b/>
          <w:lang w:eastAsia="zh-CN"/>
        </w:rPr>
        <w:t>案由不确定时，最稳妥的做法是向受理法院立案窗口确认。</w:t>
      </w:r>
    </w:p>
    <w:p w14:paraId="2CE169CA">
      <w:pPr>
        <w:spacing w:before="75" w:after="30"/>
        <w:jc w:val="both"/>
      </w:pPr>
      <w:r>
        <w:rPr>
          <w:rFonts w:hint="eastAsia" w:ascii="微软雅黑" w:hAnsi="微软雅黑" w:eastAsia="微软雅黑" w:cs="微软雅黑"/>
          <w:b/>
          <w:lang w:eastAsia="zh-CN"/>
        </w:rPr>
        <w:t>本文件夹 3 份要素式模板的填写重点：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6722"/>
      </w:tblGrid>
      <w:tr w14:paraId="614AD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1C4A75" w:sz="6" w:space="0"/>
              <w:left w:val="single" w:color="1C4A75" w:sz="6" w:space="0"/>
              <w:bottom w:val="single" w:color="1C4A75" w:sz="6" w:space="0"/>
              <w:right w:val="single" w:color="1C4A75" w:sz="6" w:space="0"/>
            </w:tcBorders>
            <w:shd w:val="clear" w:color="auto" w:fill="1C4A75"/>
            <w:tcMar>
              <w:top w:w="27" w:type="dxa"/>
              <w:left w:w="45" w:type="dxa"/>
              <w:bottom w:w="27" w:type="dxa"/>
              <w:right w:w="45" w:type="dxa"/>
            </w:tcMar>
            <w:vAlign w:val="center"/>
          </w:tcPr>
          <w:p w14:paraId="11CDA8C8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模板</w:t>
            </w:r>
          </w:p>
        </w:tc>
        <w:tc>
          <w:tcPr>
            <w:tcW w:w="4000" w:type="pct"/>
            <w:tcBorders>
              <w:top w:val="single" w:color="1C4A75" w:sz="6" w:space="0"/>
              <w:left w:val="single" w:color="1C4A75" w:sz="6" w:space="0"/>
              <w:bottom w:val="single" w:color="1C4A75" w:sz="6" w:space="0"/>
              <w:right w:val="single" w:color="1C4A75" w:sz="6" w:space="0"/>
            </w:tcBorders>
            <w:shd w:val="clear" w:color="auto" w:fill="1C4A75"/>
            <w:tcMar>
              <w:top w:w="27" w:type="dxa"/>
              <w:left w:w="45" w:type="dxa"/>
              <w:bottom w:w="27" w:type="dxa"/>
              <w:right w:w="45" w:type="dxa"/>
            </w:tcMar>
            <w:vAlign w:val="center"/>
          </w:tcPr>
          <w:p w14:paraId="4D54242F">
            <w:pPr>
              <w:spacing w:before="60" w:after="60" w:line="240" w:lineRule="auto"/>
              <w:jc w:val="left"/>
            </w:pPr>
            <w:r>
              <w:rPr>
                <w:b/>
                <w:color w:val="FFFFFF"/>
              </w:rPr>
              <w:t>填写重点</w:t>
            </w:r>
          </w:p>
        </w:tc>
      </w:tr>
      <w:tr w14:paraId="656BE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D0E0692">
            <w:pPr>
              <w:spacing w:before="60" w:after="60" w:line="240" w:lineRule="auto"/>
            </w:pPr>
            <w:r>
              <w:rPr>
                <w:b/>
              </w:rPr>
              <w:t>民间借贷纠纷</w:t>
            </w:r>
          </w:p>
        </w:tc>
        <w:tc>
          <w:tcPr>
            <w:tcW w:w="40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1765546B">
            <w:pPr>
              <w:spacing w:before="60" w:after="60" w:line="240" w:lineRule="auto"/>
            </w:pPr>
            <w:r>
              <w:t xml:space="preserve">第  1–8  项重点是 </w:t>
            </w:r>
            <w:r>
              <w:rPr>
                <w:b/>
              </w:rPr>
              <w:t>本金、利息（含计算方式与"是否主张至实际清偿之日止"）、担保权利、实现债权的费用</w:t>
            </w:r>
            <w:r>
              <w:t xml:space="preserve"> 。事实与理由须填清 " 实际提供借款金额与时间 " （防对方否认收款）、 " 有无抵押质押登记 " （决定担保是否设立）、 " 有无保证合同及保证方式 " （一般保证  or  连带责任保证）。</w:t>
            </w:r>
          </w:p>
        </w:tc>
      </w:tr>
      <w:tr w14:paraId="1F7FB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7F7250DD">
            <w:pPr>
              <w:spacing w:before="60" w:after="60" w:line="240" w:lineRule="auto"/>
            </w:pPr>
            <w:r>
              <w:rPr>
                <w:b/>
              </w:rPr>
              <w:t>房屋租赁合同纠纷</w:t>
            </w:r>
          </w:p>
        </w:tc>
        <w:tc>
          <w:tcPr>
            <w:tcW w:w="40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75234B21">
            <w:pPr>
              <w:spacing w:before="60" w:after="60" w:line="240" w:lineRule="auto"/>
            </w:pPr>
            <w:r>
              <w:t xml:space="preserve">表格 </w:t>
            </w:r>
            <w:r>
              <w:rPr>
                <w:b/>
              </w:rPr>
              <w:t>按原告身份区分填写项</w:t>
            </w:r>
            <w:r>
              <w:t xml:space="preserve"> ：原告为 </w:t>
            </w:r>
            <w:r>
              <w:rPr>
                <w:b/>
              </w:rPr>
              <w:t>出租方</w:t>
            </w:r>
            <w:r>
              <w:t xml:space="preserve"> 填第  1 、 2 、 5 、 6 、 7  项；原告为 </w:t>
            </w:r>
            <w:r>
              <w:rPr>
                <w:b/>
              </w:rPr>
              <w:t>承租方</w:t>
            </w:r>
            <w:r>
              <w:t xml:space="preserve"> 填第  3 、 8  项；第  4  项与第  9–12  项为共同项。</w:t>
            </w:r>
          </w:p>
        </w:tc>
      </w:tr>
      <w:tr w14:paraId="47243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3AFD37F9">
            <w:pPr>
              <w:spacing w:before="60" w:after="60" w:line="240" w:lineRule="auto"/>
            </w:pPr>
            <w:r>
              <w:rPr>
                <w:b/>
              </w:rPr>
              <w:t>离婚纠纷</w:t>
            </w:r>
          </w:p>
        </w:tc>
        <w:tc>
          <w:tcPr>
            <w:tcW w:w="4000" w:type="pct"/>
            <w:tcBorders>
              <w:top w:val="single" w:color="CDD9E5" w:sz="6" w:space="0"/>
              <w:left w:val="single" w:color="CDD9E5" w:sz="6" w:space="0"/>
              <w:bottom w:val="single" w:color="CDD9E5" w:sz="6" w:space="0"/>
              <w:right w:val="single" w:color="CDD9E5" w:sz="6" w:space="0"/>
            </w:tcBorders>
            <w:shd w:val="clear" w:color="auto" w:fill="F7F9FB"/>
            <w:tcMar>
              <w:top w:w="22" w:type="dxa"/>
              <w:left w:w="45" w:type="dxa"/>
              <w:bottom w:w="22" w:type="dxa"/>
              <w:right w:w="45" w:type="dxa"/>
            </w:tcMar>
            <w:vAlign w:val="center"/>
          </w:tcPr>
          <w:p w14:paraId="7BEC9600">
            <w:pPr>
              <w:spacing w:before="60" w:after="60" w:line="240" w:lineRule="auto"/>
            </w:pPr>
            <w:r>
              <w:t xml:space="preserve">9  项诉请覆盖：解除婚姻关系、共同财产、共同债务、子女直接抚养、抚养费、探望权、离婚损害赔偿／经济补偿／经济帮助、诉讼费、其他。事实与理由须逐项对应说明事由， " 请求依据 " 明确要求 </w:t>
            </w:r>
            <w:r>
              <w:rPr>
                <w:b/>
              </w:rPr>
              <w:t>写清具体法条</w:t>
            </w:r>
            <w:r>
              <w:t xml:space="preserve"> 。</w:t>
            </w:r>
          </w:p>
        </w:tc>
      </w:tr>
    </w:tbl>
    <w:p w14:paraId="2FDCEA2B"/>
    <w:p w14:paraId="7F47DE5E">
      <w:pPr>
        <w:pStyle w:val="4"/>
      </w:pPr>
      <w:r>
        <w:rPr>
          <w:rFonts w:hint="eastAsia" w:ascii="微软雅黑" w:hAnsi="微软雅黑" w:eastAsia="微软雅黑" w:cs="微软雅黑"/>
          <w:b/>
          <w:color w:val="FFFFFF"/>
          <w:sz w:val="16"/>
          <w:lang w:eastAsia="zh-CN"/>
        </w:rPr>
        <w:t>五、给工程师的一个技术需求</w:t>
      </w:r>
    </w:p>
    <w:p w14:paraId="517EFCB5">
      <w:pPr>
        <w:spacing w:after="45"/>
      </w:pPr>
      <w:r>
        <w:rPr>
          <w:rFonts w:hint="eastAsia" w:ascii="微软雅黑" w:hAnsi="微软雅黑" w:eastAsia="微软雅黑" w:cs="微软雅黑"/>
          <w:b/>
          <w:sz w:val="17"/>
          <w:lang w:eastAsia="zh-CN"/>
        </w:rPr>
        <w:t>需求：把非要素式起诉状自动转换为要素式起诉状（反向亦可）</w:t>
      </w:r>
    </w:p>
    <w:p w14:paraId="72659FF7">
      <w:pPr>
        <w:spacing w:before="30" w:after="30"/>
        <w:jc w:val="both"/>
      </w:pPr>
      <w:r>
        <w:rPr>
          <w:rFonts w:hint="eastAsia" w:ascii="微软雅黑" w:hAnsi="微软雅黑" w:eastAsia="微软雅黑" w:cs="微软雅黑"/>
          <w:b/>
          <w:color w:val="1A1A1A"/>
          <w:lang w:eastAsia="zh-CN"/>
        </w:rPr>
        <w:t>背景与痛点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　我们律师日常办理的案件，很多已有传统文书格式的</w:t>
      </w:r>
      <w:r>
        <w:rPr>
          <w:rFonts w:hint="eastAsia" w:ascii="微软雅黑" w:hAnsi="微软雅黑" w:eastAsia="微软雅黑" w:cs="微软雅黑"/>
          <w:b/>
          <w:color w:val="1A1A1A"/>
          <w:lang w:eastAsia="zh-CN"/>
        </w:rPr>
        <w:t>非要素式起诉状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（历史积累的模板、当事人或旧同事写的稿子、其他律师转来的材料）。但法院正按</w:t>
      </w:r>
      <w:r>
        <w:rPr>
          <w:color w:val="1A1A1A"/>
        </w:rPr>
        <w:t xml:space="preserve"> 67 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类示范文本推广</w:t>
      </w:r>
      <w:r>
        <w:rPr>
          <w:rFonts w:hint="eastAsia" w:ascii="微软雅黑" w:hAnsi="微软雅黑" w:eastAsia="微软雅黑" w:cs="微软雅黑"/>
          <w:b/>
          <w:color w:val="1A1A1A"/>
          <w:lang w:eastAsia="zh-CN"/>
        </w:rPr>
        <w:t>要素式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表格，立案时经常要求按表格提交。于是每办一个案子都要重复一遍机械劳动：</w:t>
      </w:r>
    </w:p>
    <w:p w14:paraId="5ACA9BD4">
      <w:pPr>
        <w:pStyle w:val="16"/>
        <w:spacing w:before="15" w:after="15"/>
        <w:jc w:val="both"/>
      </w:pPr>
      <w:r>
        <w:rPr>
          <w:rFonts w:hint="eastAsia" w:ascii="微软雅黑" w:hAnsi="微软雅黑" w:eastAsia="微软雅黑" w:cs="微软雅黑"/>
          <w:b/>
          <w:color w:val="1A1A1A"/>
          <w:lang w:eastAsia="zh-CN"/>
        </w:rPr>
        <w:t>逐段"拆解"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：把连贯叙述切碎后分别填进几十个栏目（当事人信息、诉请分项、事实与理由的十多个小项）；</w:t>
      </w:r>
    </w:p>
    <w:p w14:paraId="74D2C502">
      <w:pPr>
        <w:pStyle w:val="16"/>
        <w:spacing w:before="15" w:after="15"/>
        <w:jc w:val="both"/>
      </w:pPr>
      <w:r>
        <w:rPr>
          <w:rFonts w:hint="eastAsia" w:ascii="微软雅黑" w:hAnsi="微软雅黑" w:eastAsia="微软雅黑" w:cs="微软雅黑"/>
          <w:b/>
          <w:color w:val="1A1A1A"/>
          <w:lang w:eastAsia="zh-CN"/>
        </w:rPr>
        <w:t>反复搬运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：同一批信息（如</w:t>
      </w:r>
      <w:r>
        <w:rPr>
          <w:color w:val="1A1A1A"/>
        </w:rPr>
        <w:t>"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借款金额</w:t>
      </w:r>
      <w:r>
        <w:rPr>
          <w:color w:val="1A1A1A"/>
        </w:rPr>
        <w:t>""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实际提供时间</w:t>
      </w:r>
      <w:r>
        <w:rPr>
          <w:color w:val="1A1A1A"/>
        </w:rPr>
        <w:t>"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）在表格里出现两三次，须重复填写并保持前后一致；</w:t>
      </w:r>
    </w:p>
    <w:p w14:paraId="72EE9A55">
      <w:pPr>
        <w:pStyle w:val="16"/>
        <w:spacing w:before="15" w:after="15"/>
        <w:jc w:val="both"/>
      </w:pPr>
      <w:r>
        <w:rPr>
          <w:rFonts w:hint="eastAsia" w:ascii="微软雅黑" w:hAnsi="微软雅黑" w:eastAsia="微软雅黑" w:cs="微软雅黑"/>
          <w:b/>
          <w:color w:val="1A1A1A"/>
          <w:lang w:eastAsia="zh-CN"/>
        </w:rPr>
        <w:t>格式束缚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：示范文本规定</w:t>
      </w:r>
      <w:r>
        <w:rPr>
          <w:color w:val="1A1A1A"/>
        </w:rPr>
        <w:t>"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不得改变要素内容、格式设置</w:t>
      </w:r>
      <w:r>
        <w:rPr>
          <w:color w:val="1A1A1A"/>
        </w:rPr>
        <w:t>"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，只能复制粘贴或扩容栏目，不能为好看而删改结构；</w:t>
      </w:r>
    </w:p>
    <w:p w14:paraId="7291734F">
      <w:pPr>
        <w:pStyle w:val="16"/>
        <w:spacing w:before="15" w:after="15"/>
        <w:jc w:val="both"/>
      </w:pPr>
      <w:r>
        <w:rPr>
          <w:rFonts w:hint="eastAsia" w:ascii="微软雅黑" w:hAnsi="微软雅黑" w:eastAsia="微软雅黑" w:cs="微软雅黑"/>
          <w:b/>
          <w:color w:val="1A1A1A"/>
          <w:lang w:eastAsia="zh-CN"/>
        </w:rPr>
        <w:t>极易出错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：金额、日期、当事人名称在搬运中易前后矛盾，一旦漏填或不一致，立案阶段就可能被要求补正，来回跑；</w:t>
      </w:r>
    </w:p>
    <w:p w14:paraId="002A8C52">
      <w:pPr>
        <w:pStyle w:val="16"/>
        <w:spacing w:before="15" w:after="15"/>
        <w:jc w:val="both"/>
      </w:pPr>
      <w:r>
        <w:rPr>
          <w:rFonts w:hint="eastAsia" w:ascii="微软雅黑" w:hAnsi="微软雅黑" w:eastAsia="微软雅黑" w:cs="微软雅黑"/>
          <w:b/>
          <w:color w:val="1A1A1A"/>
          <w:lang w:eastAsia="zh-CN"/>
        </w:rPr>
        <w:t>纯耗时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：一份稍复杂的起诉状（多被告、多笔借款、多项诉请）转换一次往往要花掉相当时间，对当事人没有任何增量价值。</w:t>
      </w:r>
    </w:p>
    <w:p w14:paraId="57F82FB7">
      <w:pPr>
        <w:spacing w:before="30" w:after="30"/>
        <w:jc w:val="both"/>
        <w:rPr>
          <w:rFonts w:hint="eastAsia" w:ascii="微软雅黑" w:hAnsi="微软雅黑" w:eastAsia="微软雅黑" w:cs="微软雅黑"/>
          <w:b/>
          <w:color w:val="1A1A1A"/>
          <w:lang w:eastAsia="zh-CN"/>
        </w:rPr>
      </w:pPr>
    </w:p>
    <w:p w14:paraId="1C19523D">
      <w:pPr>
        <w:spacing w:before="30" w:after="30"/>
        <w:jc w:val="both"/>
      </w:pPr>
      <w:r>
        <w:rPr>
          <w:rFonts w:hint="eastAsia" w:ascii="微软雅黑" w:hAnsi="微软雅黑" w:eastAsia="微软雅黑" w:cs="微软雅黑"/>
          <w:b/>
          <w:color w:val="1A1A1A"/>
          <w:lang w:eastAsia="zh-CN"/>
        </w:rPr>
        <w:t>希望工程师帮忙解决的问题</w:t>
      </w:r>
    </w:p>
    <w:p w14:paraId="1594F6B0">
      <w:pPr>
        <w:pStyle w:val="16"/>
        <w:spacing w:before="15" w:after="15"/>
        <w:jc w:val="both"/>
      </w:pPr>
      <w:r>
        <w:rPr>
          <w:rFonts w:hint="eastAsia" w:ascii="微软雅黑" w:hAnsi="微软雅黑" w:eastAsia="微软雅黑" w:cs="微软雅黑"/>
          <w:b/>
          <w:color w:val="1A1A1A"/>
          <w:lang w:eastAsia="zh-CN"/>
        </w:rPr>
        <w:t>自动映射：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输入非要素式起诉状（</w:t>
      </w:r>
      <w:r>
        <w:rPr>
          <w:color w:val="1A1A1A"/>
        </w:rPr>
        <w:t xml:space="preserve">Word 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或纯文本），自动识别并提取当事人信息、案由、诉讼请求各分项、事实与理由中的关键要素（金额、日期、账户、合同编号、担保情况等），按对应案由的示范文本结构</w:t>
      </w:r>
      <w:r>
        <w:rPr>
          <w:rFonts w:hint="eastAsia" w:ascii="微软雅黑" w:hAnsi="微软雅黑" w:eastAsia="微软雅黑" w:cs="微软雅黑"/>
          <w:b/>
          <w:color w:val="1A1A1A"/>
          <w:lang w:eastAsia="zh-CN"/>
        </w:rPr>
        <w:t>自动填充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到要素式表格相应栏目。</w:t>
      </w:r>
    </w:p>
    <w:p w14:paraId="1963CE32">
      <w:pPr>
        <w:pStyle w:val="16"/>
        <w:spacing w:before="15" w:after="15"/>
        <w:jc w:val="both"/>
      </w:pPr>
      <w:r>
        <w:rPr>
          <w:rFonts w:hint="eastAsia" w:ascii="微软雅黑" w:hAnsi="微软雅黑" w:eastAsia="微软雅黑" w:cs="微软雅黑"/>
          <w:b/>
          <w:color w:val="1A1A1A"/>
          <w:lang w:eastAsia="zh-CN"/>
        </w:rPr>
        <w:t>格式合规：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输出</w:t>
      </w:r>
      <w:r>
        <w:rPr>
          <w:rFonts w:hint="eastAsia" w:ascii="微软雅黑" w:hAnsi="微软雅黑" w:eastAsia="微软雅黑" w:cs="微软雅黑"/>
          <w:b/>
          <w:color w:val="1A1A1A"/>
          <w:lang w:eastAsia="zh-CN"/>
        </w:rPr>
        <w:t>严格符合最高院示范文本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的栏目名称、顺序与勾选形式（不得增删要素、不得改格式），可直接提交立案。</w:t>
      </w:r>
    </w:p>
    <w:p w14:paraId="2F2AAE7F">
      <w:pPr>
        <w:pStyle w:val="16"/>
        <w:spacing w:before="15" w:after="15"/>
        <w:jc w:val="both"/>
      </w:pPr>
      <w:r>
        <w:rPr>
          <w:rFonts w:hint="eastAsia" w:ascii="微软雅黑" w:hAnsi="微软雅黑" w:eastAsia="微软雅黑" w:cs="微软雅黑"/>
          <w:b/>
          <w:color w:val="1A1A1A"/>
          <w:lang w:eastAsia="zh-CN"/>
        </w:rPr>
        <w:t>一致性校验：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自动比对原文与输出的</w:t>
      </w:r>
      <w:r>
        <w:rPr>
          <w:rFonts w:hint="eastAsia" w:ascii="微软雅黑" w:hAnsi="微软雅黑" w:eastAsia="微软雅黑" w:cs="微软雅黑"/>
          <w:b/>
          <w:color w:val="1A1A1A"/>
          <w:lang w:eastAsia="zh-CN"/>
        </w:rPr>
        <w:t>金额、日期、当事人名称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是否一致，标出矛盾或疑似遗漏项（如原文提到</w:t>
      </w:r>
      <w:r>
        <w:rPr>
          <w:color w:val="1A1A1A"/>
        </w:rPr>
        <w:t>"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利息</w:t>
      </w:r>
      <w:r>
        <w:rPr>
          <w:color w:val="1A1A1A"/>
        </w:rPr>
        <w:t>"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但表格</w:t>
      </w:r>
      <w:r>
        <w:rPr>
          <w:color w:val="1A1A1A"/>
        </w:rPr>
        <w:t>"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是否主张至实际清偿之日止</w:t>
      </w:r>
      <w:r>
        <w:rPr>
          <w:color w:val="1A1A1A"/>
        </w:rPr>
        <w:t>"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未勾选）。</w:t>
      </w:r>
    </w:p>
    <w:p w14:paraId="0E961663">
      <w:pPr>
        <w:pStyle w:val="16"/>
        <w:spacing w:before="15" w:after="15"/>
        <w:jc w:val="both"/>
      </w:pPr>
      <w:r>
        <w:rPr>
          <w:rFonts w:hint="eastAsia" w:ascii="微软雅黑" w:hAnsi="微软雅黑" w:eastAsia="微软雅黑" w:cs="微软雅黑"/>
          <w:b/>
          <w:color w:val="1A1A1A"/>
          <w:lang w:eastAsia="zh-CN"/>
        </w:rPr>
        <w:t>反向转换（加分项）：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把要素式表格还原为可读、可论证的非要素式起诉状，用于需要充分说理的复杂案件。</w:t>
      </w:r>
    </w:p>
    <w:p w14:paraId="762BCB23">
      <w:pPr>
        <w:pStyle w:val="16"/>
        <w:spacing w:before="15" w:after="15"/>
        <w:jc w:val="both"/>
      </w:pPr>
      <w:r>
        <w:rPr>
          <w:rFonts w:hint="eastAsia" w:ascii="微软雅黑" w:hAnsi="微软雅黑" w:eastAsia="微软雅黑" w:cs="微软雅黑"/>
          <w:b/>
          <w:color w:val="1A1A1A"/>
          <w:lang w:eastAsia="zh-CN"/>
        </w:rPr>
        <w:t>批量与模板管理（加分项）：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支持一次处理多份文件，并按案由区分表格模板（民间借贷、房屋租赁、离婚三类结构差异较大）。</w:t>
      </w:r>
    </w:p>
    <w:p w14:paraId="22564825">
      <w:pPr>
        <w:spacing w:before="30" w:after="30"/>
        <w:jc w:val="both"/>
      </w:pPr>
      <w:r>
        <w:rPr>
          <w:rFonts w:hint="eastAsia" w:ascii="微软雅黑" w:hAnsi="微软雅黑" w:eastAsia="微软雅黑" w:cs="微软雅黑"/>
          <w:b/>
          <w:color w:val="1A1A1A"/>
          <w:lang w:eastAsia="zh-CN"/>
        </w:rPr>
        <w:t>验收标准</w:t>
      </w:r>
      <w:r>
        <w:rPr>
          <w:rFonts w:hint="eastAsia" w:ascii="微软雅黑" w:hAnsi="微软雅黑" w:eastAsia="微软雅黑" w:cs="微软雅黑"/>
          <w:color w:val="1A1A1A"/>
          <w:lang w:eastAsia="zh-CN"/>
        </w:rPr>
        <w:t>　一份中等复杂度的非要素式起诉状，转换后产出结构合规、要素齐全、金额日期无矛盾的要素式表格，人工只需审校而无需重新录入。</w:t>
      </w:r>
    </w:p>
    <w:p w14:paraId="27EDA165">
      <w:pPr>
        <w:jc w:val="both"/>
      </w:pPr>
      <w:bookmarkStart w:id="0" w:name="_GoBack"/>
      <w:bookmarkEnd w:id="0"/>
    </w:p>
    <w:sectPr>
      <w:footerReference r:id="rId5" w:type="default"/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377AB">
    <w:pPr>
      <w:jc w:val="center"/>
    </w:pPr>
    <w:r>
      <w:rPr>
        <w:rFonts w:ascii="微软雅黑" w:hAnsi="微软雅黑" w:eastAsia="微软雅黑" w:cs="微软雅黑"/>
        <w:sz w:val="18"/>
      </w:rPr>
      <w:fldChar w:fldCharType="begin"/>
    </w:r>
    <w:r>
      <w:rPr>
        <w:rFonts w:ascii="微软雅黑" w:hAnsi="微软雅黑" w:eastAsia="微软雅黑" w:cs="微软雅黑"/>
        <w:sz w:val="18"/>
      </w:rPr>
      <w:instrText xml:space="preserve"> PAGE </w:instrText>
    </w:r>
    <w:r>
      <w:rPr>
        <w:rFonts w:ascii="微软雅黑" w:hAnsi="微软雅黑" w:eastAsia="微软雅黑" w:cs="微软雅黑"/>
        <w:sz w:val="18"/>
      </w:rPr>
      <w:fldChar w:fldCharType="separate"/>
    </w:r>
    <w:r>
      <w:rPr>
        <w:rFonts w:ascii="微软雅黑" w:hAnsi="微软雅黑" w:eastAsia="微软雅黑" w:cs="微软雅黑"/>
        <w:sz w:val="18"/>
      </w:rPr>
      <w:t>1</w:t>
    </w:r>
    <w:r>
      <w:rPr>
        <w:rFonts w:ascii="微软雅黑" w:hAnsi="微软雅黑" w:eastAsia="微软雅黑" w:cs="微软雅黑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24" w:lineRule="auto"/>
      </w:pPr>
      <w:r>
        <w:separator/>
      </w:r>
    </w:p>
  </w:footnote>
  <w:footnote w:type="continuationSeparator" w:id="1">
    <w:p>
      <w:pPr>
        <w:spacing w:before="0" w:after="0" w:line="2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2F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24" w:lineRule="auto"/>
      <w:jc w:val="both"/>
    </w:pPr>
    <w:rPr>
      <w:rFonts w:ascii="微软雅黑" w:hAnsi="微软雅黑" w:eastAsia="微软雅黑" w:cstheme="minorBidi"/>
      <w:color w:val="1A1A1A"/>
      <w:sz w:val="1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jc w:val="center"/>
      <w:outlineLvl w:val="0"/>
    </w:pPr>
    <w:rPr>
      <w:rFonts w:asciiTheme="majorHAnsi" w:hAnsiTheme="majorHAnsi" w:eastAsiaTheme="majorEastAsia" w:cstheme="majorBidi"/>
      <w:b/>
      <w:bCs/>
      <w:color w:val="0F2B46"/>
      <w:sz w:val="23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FFFFFF"/>
      <w:sz w:val="1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4395C"/>
      <w:sz w:val="1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3149</Words>
  <Characters>3254</Characters>
  <Lines>0</Lines>
  <Paragraphs>0</Paragraphs>
  <TotalTime>4</TotalTime>
  <ScaleCrop>false</ScaleCrop>
  <LinksUpToDate>false</LinksUpToDate>
  <CharactersWithSpaces>3553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LAW TEAM-F</cp:lastModifiedBy>
  <dcterms:modified xsi:type="dcterms:W3CDTF">2026-09-22T09:49:24Z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eyJoZGlkIjoiOTc3M2Y5NzIzMDFlZjAyY2Q4Njk5ODkyYjFjNzBiNTQiLCJ1c2VySWQiOiI0MzM1NzIxMjUifQ==</vt:lpwstr>
  </property>
  <property fmtid="{D5CDD505-2E9C-101B-9397-08002B2CF9AE}" pid="3" name="KSOProductBuildVer">
    <vt:lpwstr>2052-12.1.0.28488</vt:lpwstr>
  </property>
  <property fmtid="{D5CDD505-2E9C-101B-9397-08002B2CF9AE}" pid="4" name="ICV">
    <vt:lpwstr>8F3F62E1C4B74A059AEFEE4159AC01EC_12</vt:lpwstr>
  </property>
</Properties>
</file>