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260"/>
        <w:jc w:val="center"/>
      </w:pPr>
      <w:r>
        <w:rPr>
          <w:rFonts w:ascii="LXGW WenKai" w:cs="LXGW WenKai" w:eastAsia="LXGW WenKai" w:hAnsi="LXGW WenKai"/>
          <w:b/>
          <w:bCs/>
          <w:color w:val="1F4E78"/>
          <w:sz w:val="38"/>
          <w:szCs w:val="38"/>
          <w:lang w:val="zh-CN" w:eastAsia="zh-CN"/>
        </w:rPr>
        <w:t xml:space="preserve">劳动合同（林晚晴）</w:t>
      </w:r>
    </w:p>
    <w:p>
      <w:pPr>
        <w:spacing w:after="160"/>
        <w:jc w:val="center"/>
      </w:pPr>
      <w:r>
        <w:rPr>
          <w:rFonts w:ascii="LXGW WenKai" w:cs="LXGW WenKai" w:eastAsia="LXGW WenKai" w:hAnsi="LXGW WenKai"/>
          <w:color w:val="667085"/>
          <w:sz w:val="23"/>
          <w:szCs w:val="23"/>
          <w:lang w:val="zh-CN" w:eastAsia="zh-CN"/>
        </w:rPr>
        <w:t xml:space="preserve">员工编号：E001 · 合同主体：上海沪江优配仓储服务有限公司（模拟）</w:t>
      </w:r>
    </w:p>
    <w:p>
      <w:pPr>
        <w:spacing w:after="220"/>
        <w:jc w:val="center"/>
      </w:pPr>
      <w:r>
        <w:rPr>
          <w:rFonts w:ascii="LXGW WenKai" w:cs="LXGW WenKai" w:eastAsia="LXGW WenKai" w:hAnsi="LXGW WenKai"/>
          <w:b/>
          <w:bCs/>
          <w:color w:val="B42318"/>
          <w:sz w:val="18"/>
          <w:szCs w:val="18"/>
          <w:lang w:val="zh-CN" w:eastAsia="zh-CN"/>
        </w:rPr>
        <w:t xml:space="preserve">纯属虚构，仅供法律AI培训演示，不对应任何真实主体、人员、账号或案件。</w:t>
      </w:r>
    </w:p>
    <w:p>
      <w:pPr>
        <w:pStyle w:val="Heading1"/>
        <w:keepNext/>
        <w:spacing w:after="120" w:before="240"/>
      </w:pPr>
      <w:r>
        <w:t xml:space="preserve">基本信息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员工：林晚晴；岗位：仓库拣货员；入职日期：2023-04-10；基础工资：人民币7,800.00元（模拟）。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工作地点：上海南港医药物流园A区（虚构）。</w:t>
      </w:r>
    </w:p>
    <w:p>
      <w:pPr>
        <w:pStyle w:val="Heading1"/>
        <w:keepNext/>
        <w:spacing w:after="120" w:before="240"/>
      </w:pPr>
      <w:r>
        <w:t xml:space="preserve">工作与薪酬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工资按月发放；加班、夜班、岗位津贴和考勤扣款以制度、排班和结算表为依据。合同未附所有补贴标准，需结合其他材料核对。</w:t>
      </w:r>
    </w:p>
    <w:p>
      <w:pPr>
        <w:pStyle w:val="Heading1"/>
        <w:keepNext/>
        <w:spacing w:after="120" w:before="240"/>
      </w:pPr>
      <w:r>
        <w:t xml:space="preserve">用工主体与签署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本合同盖章主体记载为：上海沪江优配仓储服务有限公司（模拟）。现场管理、发薪和社保主体可能另有记录，不能仅凭本合同认定全部责任。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签署页、附件、续签情况和原件保存位置在原始材料中不完整。</w:t>
      </w:r>
    </w:p>
    <w:p>
      <w:pPr>
        <w:spacing w:after="120" w:before="240" w:line="330"/>
        <w:jc w:val="both"/>
      </w:pPr>
      <w:r>
        <w:rPr>
          <w:rFonts w:ascii="LXGW WenKai" w:cs="LXGW WenKai" w:eastAsia="LXGW WenKai" w:hAnsi="LXGW WenKai"/>
          <w:color w:val="B42318"/>
          <w:sz w:val="21"/>
          <w:szCs w:val="21"/>
          <w:lang w:val="zh-CN" w:eastAsia="zh-CN"/>
        </w:rPr>
        <w:t xml:space="preserve">本文件为当事人或内部人员提供的原始材料，材料记载、单方陈述和客观系统记录应分别识别。</w:t>
      </w:r>
    </w:p>
    <w:sectPr>
      <w:headerReference w:type="default" r:id="rId7"/>
      <w:footerReference w:type="default" r:id="rId8"/>
      <w:pgSz w:w="11906" w:h="16838" w:orient="portrait"/>
      <w:pgMar w:top="1150" w:right="1200" w:bottom="11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XGW WenKai" w:cs="LXGW WenKai" w:eastAsia="LXGW WenKai" w:hAnsi="LXGW WenKai"/>
        <w:color w:val="B42318"/>
        <w:sz w:val="16"/>
        <w:szCs w:val="16"/>
        <w:lang w:val="zh-CN" w:eastAsia="zh-CN"/>
      </w:rPr>
      <w:t xml:space="preserve">纯属虚构，仅供法律AI培训演示，不对应任何真实主体、人员、账号或案件。</w:t>
    </w:r>
    <w:r>
      <w:rPr>
        <w:rFonts w:ascii="LXGW WenKai" w:cs="LXGW WenKai" w:eastAsia="LXGW WenKai" w:hAnsi="LXGW WenKai"/>
        <w:color w:val="667085"/>
        <w:sz w:val="16"/>
        <w:szCs w:val="16"/>
        <w:lang w:val="zh-CN" w:eastAsia="zh-CN"/>
      </w:rPr>
      <w:t xml:space="preserve">    第 </w:t>
    </w:r>
    <w:r>
      <w:rPr>
        <w:rFonts w:ascii="LXGW WenKai" w:cs="LXGW WenKai" w:eastAsia="LXGW WenKai" w:hAnsi="LXGW WenKai"/>
        <w:color w:val="667085"/>
        <w:sz w:val="16"/>
        <w:szCs w:val="16"/>
        <w:lang w:val="zh-CN" w:eastAsia="zh-CN"/>
      </w:rPr>
      <w:fldChar w:fldCharType="begin"/>
      <w:instrText xml:space="preserve">PAGE</w:instrText>
      <w:fldChar w:fldCharType="separate"/>
      <w:fldChar w:fldCharType="end"/>
    </w:r>
    <w:r>
      <w:rPr>
        <w:rFonts w:ascii="LXGW WenKai" w:cs="LXGW WenKai" w:eastAsia="LXGW WenKai" w:hAnsi="LXGW WenKai"/>
        <w:color w:val="667085"/>
        <w:sz w:val="16"/>
        <w:szCs w:val="16"/>
        <w:lang w:val="zh-CN"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XGW WenKai" w:cs="LXGW WenKai" w:eastAsia="LXGW WenKai" w:hAnsi="LXGW WenKai"/>
        <w:color w:val="667085"/>
        <w:sz w:val="17"/>
        <w:szCs w:val="17"/>
        <w:lang w:val="zh-CN" w:eastAsia="zh-CN"/>
      </w:rPr>
      <w:t xml:space="preserve">法律AI培训模拟材料 | 劳动合同（林晚晴）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XGW WenKai" w:cs="LXGW WenKai" w:eastAsia="LXGW WenKai" w:hAnsi="LXGW WenKai"/>
        <w:sz w:val="21"/>
        <w:szCs w:val="21"/>
        <w:lang w:val="zh-CN" w:eastAsia="zh-CN"/>
      </w:rPr>
    </w:rPrDefault>
    <w:pPrDefault>
      <w:pPr>
        <w:spacing w:after="12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LXGW WenKai" w:cs="LXGW WenKai" w:eastAsia="LXGW WenKai" w:hAnsi="LXGW WenKai"/>
      <w:b/>
      <w:bCs/>
      <w:color w:val="1F4E78"/>
      <w:sz w:val="30"/>
      <w:szCs w:val="30"/>
      <w:lang w:val="zh-CN" w:eastAsia="zh-CN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LXGW WenKai" w:cs="LXGW WenKai" w:eastAsia="LXGW WenKai" w:hAnsi="LXGW WenKai"/>
      <w:b/>
      <w:bCs/>
      <w:color w:val="2F75B5"/>
      <w:sz w:val="25"/>
      <w:szCs w:val="25"/>
      <w:lang w:val="zh-CN" w:eastAsia="zh-C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劳动合同（林晚晴）</dc:title>
  <dc:subject>纯属虚构，仅供法律AI培训演示，不对应任何真实主体、人员、账号或案件。</dc:subject>
  <dc:creator>Legal AI Demo Generator</dc:creator>
  <dc:description>纯属虚构，仅供法律AI培训演示，不对应任何真实主体、人员、账号或案件。</dc:description>
  <cp:lastModifiedBy>Un-named</cp:lastModifiedBy>
  <cp:revision>1</cp:revision>
  <dcterms:created xsi:type="dcterms:W3CDTF">2026-09-18T03:39:02.441Z</dcterms:created>
  <dcterms:modified xsi:type="dcterms:W3CDTF">2026-09-18T03:39:02.441Z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