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260"/>
        <w:jc w:val="center"/>
      </w:pPr>
      <w:r>
        <w:rPr>
          <w:rFonts w:ascii="LXGW WenKai" w:cs="LXGW WenKai" w:eastAsia="LXGW WenKai" w:hAnsi="LXGW WenKai"/>
          <w:b/>
          <w:bCs/>
          <w:color w:val="1F4E78"/>
          <w:sz w:val="38"/>
          <w:szCs w:val="38"/>
          <w:lang w:val="zh-CN" w:eastAsia="zh-CN"/>
        </w:rPr>
        <w:t xml:space="preserve">仓配服务与用工管理总协议</w:t>
      </w:r>
    </w:p>
    <w:p>
      <w:pPr>
        <w:spacing w:after="160"/>
        <w:jc w:val="center"/>
      </w:pPr>
      <w:r>
        <w:rPr>
          <w:rFonts w:ascii="LXGW WenKai" w:cs="LXGW WenKai" w:eastAsia="LXGW WenKai" w:hAnsi="LXGW WenKai"/>
          <w:color w:val="667085"/>
          <w:sz w:val="23"/>
          <w:szCs w:val="23"/>
          <w:lang w:val="zh-CN" w:eastAsia="zh-CN"/>
        </w:rPr>
        <w:t xml:space="preserve">协议编号：DEMO-NG-LABOR-2023-001</w:t>
      </w:r>
    </w:p>
    <w:p>
      <w:pPr>
        <w:spacing w:after="220"/>
        <w:jc w:val="center"/>
      </w:pPr>
      <w:r>
        <w:rPr>
          <w:rFonts w:ascii="LXGW WenKai" w:cs="LXGW WenKai" w:eastAsia="LXGW WenKai" w:hAnsi="LXGW WenKai"/>
          <w:b/>
          <w:bCs/>
          <w:color w:val="B42318"/>
          <w:sz w:val="18"/>
          <w:szCs w:val="18"/>
          <w:lang w:val="zh-CN" w:eastAsia="zh-CN"/>
        </w:rPr>
        <w:t xml:space="preserve">纯属虚构，仅供法律AI培训演示，不对应任何真实主体、人员、账号或案件。</w:t>
      </w:r>
    </w:p>
    <w:p>
      <w:pPr>
        <w:pStyle w:val="Heading1"/>
        <w:keepNext/>
        <w:spacing w:after="120" w:before="240"/>
      </w:pPr>
      <w:r>
        <w:t xml:space="preserve">第一条 项目与主体</w:t>
      </w:r>
    </w:p>
    <w:p>
      <w:pPr>
        <w:spacing w:after="120" w:before="0" w:line="330"/>
        <w:jc w:val="both"/>
      </w:pPr>
      <w:r>
        <w:rPr>
          <w:rFonts w:ascii="LXGW WenKai" w:cs="LXGW WenKai" w:eastAsia="LXGW WenKai" w:hAnsi="LXGW WenKai"/>
          <w:sz w:val="21"/>
          <w:szCs w:val="21"/>
          <w:lang w:val="zh-CN" w:eastAsia="zh-CN"/>
        </w:rPr>
        <w:t xml:space="preserve">甲方：上海南港医药物流园运营管理有限公司（模拟）；乙方：上海沪江优配仓储服务有限公司（模拟）。双方就南港医药物流园A区仓配运营、人员管理、排班和安全管理进行约定。</w:t>
      </w:r>
    </w:p>
    <w:p>
      <w:pPr>
        <w:spacing w:after="120" w:before="0" w:line="330"/>
        <w:jc w:val="both"/>
      </w:pPr>
      <w:r>
        <w:rPr>
          <w:rFonts w:ascii="LXGW WenKai" w:cs="LXGW WenKai" w:eastAsia="LXGW WenKai" w:hAnsi="LXGW WenKai"/>
          <w:sz w:val="21"/>
          <w:szCs w:val="21"/>
          <w:lang w:val="zh-CN" w:eastAsia="zh-CN"/>
        </w:rPr>
        <w:t xml:space="preserve">乙方可根据业务需要与江苏恒达劳务派遣有限公司（模拟）、上海新衡人力资源服务有限公司（模拟）合作，但人员合同、工资、社保、现场管理的责任边界应逐人确认。</w:t>
      </w:r>
    </w:p>
    <w:p>
      <w:pPr>
        <w:pStyle w:val="Heading1"/>
        <w:keepNext/>
        <w:spacing w:after="120" w:before="240"/>
      </w:pPr>
      <w:r>
        <w:t xml:space="preserve">第二条 考勤与排班</w:t>
      </w:r>
    </w:p>
    <w:p>
      <w:pPr>
        <w:spacing w:after="120" w:before="0" w:line="330"/>
        <w:jc w:val="both"/>
      </w:pPr>
      <w:r>
        <w:rPr>
          <w:rFonts w:ascii="LXGW WenKai" w:cs="LXGW WenKai" w:eastAsia="LXGW WenKai" w:hAnsi="LXGW WenKai"/>
          <w:sz w:val="21"/>
          <w:szCs w:val="21"/>
          <w:lang w:val="zh-CN" w:eastAsia="zh-CN"/>
        </w:rPr>
        <w:t xml:space="preserve">甲方提供门禁条件，乙方维护排班和现场管理记录；临时调整应尽量留存书面或系统记录。</w:t>
      </w:r>
    </w:p>
    <w:p>
      <w:pPr>
        <w:spacing w:after="120" w:before="0" w:line="330"/>
        <w:jc w:val="both"/>
      </w:pPr>
      <w:r>
        <w:rPr>
          <w:rFonts w:ascii="LXGW WenKai" w:cs="LXGW WenKai" w:eastAsia="LXGW WenKai" w:hAnsi="LXGW WenKai"/>
          <w:sz w:val="21"/>
          <w:szCs w:val="21"/>
          <w:lang w:val="zh-CN" w:eastAsia="zh-CN"/>
        </w:rPr>
        <w:t xml:space="preserve">夜班跨日、补卡、加班、临时替班和跨区作业应在月度结算时逐人核对。</w:t>
      </w:r>
    </w:p>
    <w:p>
      <w:pPr>
        <w:pStyle w:val="Heading1"/>
        <w:keepNext/>
        <w:spacing w:after="120" w:before="240"/>
      </w:pPr>
      <w:r>
        <w:t xml:space="preserve">第三条 费用与人员结算</w:t>
      </w:r>
    </w:p>
    <w:p>
      <w:pPr>
        <w:spacing w:after="120" w:before="0" w:line="330"/>
        <w:jc w:val="both"/>
      </w:pPr>
      <w:r>
        <w:rPr>
          <w:rFonts w:ascii="LXGW WenKai" w:cs="LXGW WenKai" w:eastAsia="LXGW WenKai" w:hAnsi="LXGW WenKai"/>
          <w:sz w:val="21"/>
          <w:szCs w:val="21"/>
          <w:lang w:val="zh-CN" w:eastAsia="zh-CN"/>
        </w:rPr>
        <w:t xml:space="preserve">乙方按月向甲方提交人员结算表。协议未约定员工个人争议应由哪一主体最终付款，相关附件应结合劳动合同和实际付款流水解释。</w:t>
      </w:r>
    </w:p>
    <w:p>
      <w:pPr>
        <w:pStyle w:val="Heading1"/>
        <w:keepNext/>
        <w:spacing w:after="120" w:before="240"/>
      </w:pPr>
      <w:r>
        <w:t xml:space="preserve">第四条 安全与事故</w:t>
      </w:r>
    </w:p>
    <w:p>
      <w:pPr>
        <w:spacing w:after="120" w:before="0" w:line="330"/>
        <w:jc w:val="both"/>
      </w:pPr>
      <w:r>
        <w:rPr>
          <w:rFonts w:ascii="LXGW WenKai" w:cs="LXGW WenKai" w:eastAsia="LXGW WenKai" w:hAnsi="LXGW WenKai"/>
          <w:sz w:val="21"/>
          <w:szCs w:val="21"/>
          <w:lang w:val="zh-CN" w:eastAsia="zh-CN"/>
        </w:rPr>
        <w:t xml:space="preserve">现场应进行安全培训并记录设备异常、伤情和就医情况。任何事故记录均需区分员工陈述、主管记录和客观门禁/设备日志。</w:t>
      </w:r>
    </w:p>
    <w:p>
      <w:pPr>
        <w:pStyle w:val="Heading1"/>
        <w:keepNext/>
        <w:spacing w:after="120" w:before="240"/>
      </w:pPr>
      <w:r>
        <w:t xml:space="preserve">第五条 版本与生效</w:t>
      </w:r>
    </w:p>
    <w:p>
      <w:pPr>
        <w:spacing w:after="120" w:before="0" w:line="330"/>
        <w:jc w:val="both"/>
      </w:pPr>
      <w:r>
        <w:rPr>
          <w:rFonts w:ascii="LXGW WenKai" w:cs="LXGW WenKai" w:eastAsia="LXGW WenKai" w:hAnsi="LXGW WenKai"/>
          <w:sz w:val="21"/>
          <w:szCs w:val="21"/>
          <w:lang w:val="zh-CN" w:eastAsia="zh-CN"/>
        </w:rPr>
        <w:t xml:space="preserve">本文件为培训模拟材料，编号、印章、主体和金额均不可用于真实交易。签署页中的日期与附件版本可能存在差异。</w:t>
      </w:r>
    </w:p>
    <w:p>
      <w:pPr>
        <w:spacing w:after="120" w:before="240" w:line="330"/>
        <w:jc w:val="both"/>
      </w:pPr>
      <w:r>
        <w:rPr>
          <w:rFonts w:ascii="LXGW WenKai" w:cs="LXGW WenKai" w:eastAsia="LXGW WenKai" w:hAnsi="LXGW WenKai"/>
          <w:color w:val="B42318"/>
          <w:sz w:val="21"/>
          <w:szCs w:val="21"/>
          <w:lang w:val="zh-CN" w:eastAsia="zh-CN"/>
        </w:rPr>
        <w:t xml:space="preserve">本文件为当事人或内部人员提供的原始材料，材料记载、单方陈述和客观系统记录应分别识别。</w:t>
      </w:r>
    </w:p>
    <w:sectPr>
      <w:headerReference w:type="default" r:id="rId7"/>
      <w:footerReference w:type="default" r:id="rId8"/>
      <w:pgSz w:w="11906" w:h="16838" w:orient="portrait"/>
      <w:pgMar w:top="1150" w:right="1200" w:bottom="115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XGW WenKai" w:cs="LXGW WenKai" w:eastAsia="LXGW WenKai" w:hAnsi="LXGW WenKai"/>
        <w:color w:val="B42318"/>
        <w:sz w:val="16"/>
        <w:szCs w:val="16"/>
        <w:lang w:val="zh-CN" w:eastAsia="zh-CN"/>
      </w:rPr>
      <w:t xml:space="preserve">纯属虚构，仅供法律AI培训演示，不对应任何真实主体、人员、账号或案件。</w:t>
    </w:r>
    <w:r>
      <w:rPr>
        <w:rFonts w:ascii="LXGW WenKai" w:cs="LXGW WenKai" w:eastAsia="LXGW WenKai" w:hAnsi="LXGW WenKai"/>
        <w:color w:val="667085"/>
        <w:sz w:val="16"/>
        <w:szCs w:val="16"/>
        <w:lang w:val="zh-CN" w:eastAsia="zh-CN"/>
      </w:rPr>
      <w:t xml:space="preserve">    第 </w:t>
    </w:r>
    <w:r>
      <w:rPr>
        <w:rFonts w:ascii="LXGW WenKai" w:cs="LXGW WenKai" w:eastAsia="LXGW WenKai" w:hAnsi="LXGW WenKai"/>
        <w:color w:val="667085"/>
        <w:sz w:val="16"/>
        <w:szCs w:val="16"/>
        <w:lang w:val="zh-CN" w:eastAsia="zh-CN"/>
      </w:rPr>
      <w:fldChar w:fldCharType="begin"/>
      <w:instrText xml:space="preserve">PAGE</w:instrText>
      <w:fldChar w:fldCharType="separate"/>
      <w:fldChar w:fldCharType="end"/>
    </w:r>
    <w:r>
      <w:rPr>
        <w:rFonts w:ascii="LXGW WenKai" w:cs="LXGW WenKai" w:eastAsia="LXGW WenKai" w:hAnsi="LXGW WenKai"/>
        <w:color w:val="667085"/>
        <w:sz w:val="16"/>
        <w:szCs w:val="16"/>
        <w:lang w:val="zh-CN"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LXGW WenKai" w:cs="LXGW WenKai" w:eastAsia="LXGW WenKai" w:hAnsi="LXGW WenKai"/>
        <w:color w:val="667085"/>
        <w:sz w:val="17"/>
        <w:szCs w:val="17"/>
        <w:lang w:val="zh-CN" w:eastAsia="zh-CN"/>
      </w:rPr>
      <w:t xml:space="preserve">法律AI培训模拟材料 | 仓配服务与用工管理总协议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XGW WenKai" w:cs="LXGW WenKai" w:eastAsia="LXGW WenKai" w:hAnsi="LXGW WenKai"/>
        <w:sz w:val="21"/>
        <w:szCs w:val="21"/>
        <w:lang w:val="zh-CN" w:eastAsia="zh-CN"/>
      </w:rPr>
    </w:rPrDefault>
    <w:pPrDefault>
      <w:pPr>
        <w:spacing w:after="120"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LXGW WenKai" w:cs="LXGW WenKai" w:eastAsia="LXGW WenKai" w:hAnsi="LXGW WenKai"/>
      <w:b/>
      <w:bCs/>
      <w:color w:val="1F4E78"/>
      <w:sz w:val="30"/>
      <w:szCs w:val="30"/>
      <w:lang w:val="zh-CN" w:eastAsia="zh-CN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LXGW WenKai" w:cs="LXGW WenKai" w:eastAsia="LXGW WenKai" w:hAnsi="LXGW WenKai"/>
      <w:b/>
      <w:bCs/>
      <w:color w:val="2F75B5"/>
      <w:sz w:val="25"/>
      <w:szCs w:val="25"/>
      <w:lang w:val="zh-CN" w:eastAsia="zh-CN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仓配服务与用工管理总协议</dc:title>
  <dc:subject>纯属虚构，仅供法律AI培训演示，不对应任何真实主体、人员、账号或案件。</dc:subject>
  <dc:creator>Legal AI Demo Generator</dc:creator>
  <dc:description>纯属虚构，仅供法律AI培训演示，不对应任何真实主体、人员、账号或案件。</dc:description>
  <cp:lastModifiedBy>Un-named</cp:lastModifiedBy>
  <cp:revision>1</cp:revision>
  <dcterms:created xsi:type="dcterms:W3CDTF">2026-09-18T03:39:02.375Z</dcterms:created>
  <dcterms:modified xsi:type="dcterms:W3CDTF">2026-09-18T03:39:02.375Z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