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280"/>
        <w:jc w:val="center"/>
      </w:pPr>
      <w:r>
        <w:rPr>
          <w:rFonts w:ascii="Microsoft YaHei" w:cs="Microsoft YaHei" w:eastAsia="Microsoft YaHei" w:hAnsi="Microsoft YaHei"/>
          <w:b/>
          <w:bCs/>
          <w:sz w:val="38"/>
          <w:szCs w:val="38"/>
        </w:rPr>
        <w:t xml:space="preserve">汽车空调滤清器性能技术要求</w:t>
      </w:r>
    </w:p>
    <w:p>
      <w:pPr>
        <w:spacing w:after="85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研发技术要求样例 | 演示输入 | V0.1</w:t>
      </w:r>
    </w:p>
    <w:p>
      <w:pPr>
        <w:spacing w:after="140"/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说明：本文中的技术指标均为演示目标，待研发、质量和标准化人员确认；不得直接作为正式产品承诺或标准限值。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1 项目基本信息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c>
          <w:tcPr>
            <w:tcW w:type="dxa" w:w="22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字段</w:t>
            </w:r>
          </w:p>
        </w:tc>
        <w:tc>
          <w:tcPr>
            <w:tcW w:type="dxa" w:w="682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乘用车空调滤清器低阻高效项目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产品对象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乘用车 HVAC 系统用组合式空调滤清器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适用车型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 级至 B 级乘用车平台，演示接口 240 mm x 190 mm x 30 mm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使用场景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城市道路、高粉尘道路和季节性高花粉环境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2 范围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适用于乘用车 HVAC 系统用组合式空调滤清器；不适用于发动机进气滤清器、商用车重载滤清器和医用空气过滤设备。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3 功能与技术要求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滤清器由滤材、边框、密封条和可选活性炭层组成，安装后不得明显漏风或松动。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应拦截空气中的颗粒物，并在规定使用周期内保持可接受的通风阻力。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含活性炭层的配置应具备基础异味吸附能力；具体污染物和判定方法待确认。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4 可量化性能目标</w:t>
      </w:r>
    </w:p>
    <w:tbl>
      <w:tblPr>
        <w:tblW w:type="dxa" w:w="9026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D9D9D9" w:sz="4"/>
          <w:insideV w:val="single" w:color="D9D9D9" w:sz="4"/>
        </w:tblBorders>
      </w:tblPr>
      <w:tblGrid>
        <w:gridCol w:w="780"/>
        <w:gridCol w:w="1700"/>
        <w:gridCol w:w="2440"/>
        <w:gridCol w:w="4106"/>
      </w:tblGrid>
      <w:tr>
        <w:tc>
          <w:tcPr>
            <w:tcW w:type="dxa" w:w="78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编号</w:t>
            </w:r>
          </w:p>
        </w:tc>
        <w:tc>
          <w:tcPr>
            <w:tcW w:type="dxa" w:w="170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指标</w:t>
            </w:r>
          </w:p>
        </w:tc>
        <w:tc>
          <w:tcPr>
            <w:tcW w:type="dxa" w:w="2440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演示目标，待确认</w:t>
            </w:r>
          </w:p>
        </w:tc>
        <w:tc>
          <w:tcPr>
            <w:tcW w:type="dxa" w:w="4106"/>
            <w:shd w:fill="EAF2F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验证条件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F-01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初始阻力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额定风量下不大于 85 Pa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常温干燥状态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F-02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颗粒物过滤效率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不低于 90%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粒径、风量和计数方法待确认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F-03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容尘后阻力增长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不大于 180 Pa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规定容尘量后，额定风量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F-04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结构完整性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无裂纹、脱胶、破损或影响安装的变形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按车辆运输/使用振动程序</w:t>
            </w:r>
          </w:p>
        </w:tc>
      </w:tr>
      <w:tr>
        <w:tc>
          <w:tcPr>
            <w:tcW w:type="dxa" w:w="7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F-05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密封性</w:t>
            </w:r>
          </w:p>
        </w:tc>
        <w:tc>
          <w:tcPr>
            <w:tcW w:type="dxa" w:w="24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旁路泄漏率不大于 5%</w:t>
            </w:r>
          </w:p>
        </w:tc>
        <w:tc>
          <w:tcPr>
            <w:tcW w:type="dxa" w:w="410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装车模拟夹具，额定风量</w:t>
            </w:r>
          </w:p>
        </w:tc>
      </w:tr>
    </w:tbl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5 试验条件与方法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样品数量：每种配置 5 件；演示目标，待确认。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试验空气温度 23 C +/- 5 C、相对湿度 45% 至 75%。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阻力在额定风量下测量，测点位于进出口静压段；仪器精度和管路尺寸待确认。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过滤效率采用上游/下游颗粒浓度计算，需明确颗粒物类型、粒径、采样位置和计数仪型号。</w:t>
      </w:r>
    </w:p>
    <w:p>
      <w:pPr>
        <w:pStyle w:val="Heading1"/>
        <w:spacing w:before="240" w:after="140"/>
        <w:rPr>
          <w:rFonts w:ascii="Microsoft YaHei" w:cs="Microsoft YaHei" w:eastAsia="Microsoft YaHei" w:hAnsi="Microsoft YaHei"/>
        </w:rPr>
      </w:pPr>
      <w:r>
        <w:t xml:space="preserve">6 验收、交付与待确认事项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所有样品应满足 F-01 至 F-05；失效样品应记录失效位置与原因。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输出设计图纸、材料清单、滤材规格、检测原始数据、颗粒物计数记录和试验报告。</w:t>
      </w:r>
    </w:p>
    <w:p>
      <w:pPr>
        <w:spacing w:after="1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目标市场、气味/VOC 方法、容尘粉尘类型和安装夹具尚待确认。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2026-08-15T12:39:17.255Z</dcterms:created>
  <dcterms:modified xsi:type="dcterms:W3CDTF">2026-08-15T12:39:17.255Z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