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280"/>
        <w:jc w:val="center"/>
      </w:pPr>
      <w:r>
        <w:rPr>
          <w:rFonts w:ascii="Microsoft YaHei" w:cs="Microsoft YaHei" w:eastAsia="Microsoft YaHei" w:hAnsi="Microsoft YaHei"/>
          <w:b/>
          <w:bCs/>
          <w:sz w:val="38"/>
          <w:szCs w:val="38"/>
        </w:rPr>
        <w:t xml:space="preserve">家用电冰箱蒸发器容霜性能技术要求</w:t>
      </w:r>
    </w:p>
    <w:p>
      <w:pPr>
        <w:spacing w:after="85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研发技术要求样例 | 演示输入 | V0.1</w:t>
      </w:r>
    </w:p>
    <w:p>
      <w:pPr>
        <w:spacing w:after="140"/>
        <w:jc w:val="center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说明：本文中的技术指标均为演示目标，待研发、质量和标准化人员确认；不得直接作为正式产品承诺或标准限值。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1 项目基本信息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2200"/>
        <w:gridCol w:w="6826"/>
      </w:tblGrid>
      <w:tr>
        <w:tc>
          <w:tcPr>
            <w:tcW w:type="dxa" w:w="220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字段</w:t>
            </w:r>
          </w:p>
        </w:tc>
        <w:tc>
          <w:tcPr>
            <w:tcW w:type="dxa" w:w="6826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风冷冰箱蒸发器容霜性能提升项目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产品对象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家用风冷无霜冰箱用翅片式蒸发器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适用型号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RF-480 演示平台，冷藏室蒸发器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目标场景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高湿环境下延长化霜间隔并保持送风能力</w:t>
            </w:r>
          </w:p>
        </w:tc>
      </w:tr>
    </w:tbl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2 范围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适用于家用风冷无霜冰箱用翅片式蒸发器的容霜、送风、化霜和排水性能验证；不适用于直冷冰箱、商用冷柜和非翅片管式换热器。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3 功能与技术要求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在规定湿热工况下运行至化霜触发前，应维持设计送风能力。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结霜后不应出现影响风道密封、风机运行或排水的冰堵。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化霜完成后，残余积水应在规定时间内排尽，不应造成二次结冰。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4 可量化性能目标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780"/>
        <w:gridCol w:w="1700"/>
        <w:gridCol w:w="2440"/>
        <w:gridCol w:w="4106"/>
      </w:tblGrid>
      <w:tr>
        <w:tc>
          <w:tcPr>
            <w:tcW w:type="dxa" w:w="78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编号</w:t>
            </w:r>
          </w:p>
        </w:tc>
        <w:tc>
          <w:tcPr>
            <w:tcW w:type="dxa" w:w="170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指标</w:t>
            </w:r>
          </w:p>
        </w:tc>
        <w:tc>
          <w:tcPr>
            <w:tcW w:type="dxa" w:w="244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演示目标，待确认</w:t>
            </w:r>
          </w:p>
        </w:tc>
        <w:tc>
          <w:tcPr>
            <w:tcW w:type="dxa" w:w="4106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验证条件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E-01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容霜质量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不小于 650 g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规定湿热工况、规定试验时长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E-02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送风衰减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不大于初始风量的 15%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结霜前后同一档位测量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E-03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化霜完成时间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不大于 35 min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化霜启动至表面无连续霜层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E-04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排水完成时间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不大于 15 min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化霜结束后记录排水口无连续滴水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E-05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再冻结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不应出现影响运行的冰堵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化霜后恢复制冷 2 h</w:t>
            </w:r>
          </w:p>
        </w:tc>
      </w:tr>
    </w:tbl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5 试验条件与方法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样品数量：3 台整机或 3 套蒸发器系统；演示目标，待确认。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环境温度：32 C +/- 1 C；相对湿度：70% +/- 5%。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箱内负载、门开闭程序、化霜触发逻辑及测温点布置需由研发补充。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使用经校准的电子天平、温湿度记录仪、风量计和数据采集系统；采样间隔不大于 1 min。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6 验收、交付与待确认事项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每个样品均应满足 E-01 至 E-05；一项不合格时允许复测一次。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试验报告应包含蒸发器结构、翅片间距、制冷剂充注量、化霜策略、原始曲线、结霜照片和结论。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参考 QB/T 8144-2025 的章节分类；具体条文、计算边界、负载量和测点位置需核验确认。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2026-08-15T12:39:17.245Z</dcterms:created>
  <dcterms:modified xsi:type="dcterms:W3CDTF">2026-08-15T12:39:17.245Z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