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1"/>
        <w:jc w:val="center"/>
        <w:rPr>
          <w:b/>
          <w:bCs/>
          <w:sz w:val="28"/>
          <w:szCs w:val="40"/>
        </w:rPr>
      </w:pPr>
      <w:r>
        <w:rPr>
          <w:b/>
          <w:bCs/>
          <w:sz w:val="28"/>
          <w:szCs w:val="40"/>
        </w:rPr>
        <w:t xml:space="preserve"> </w:t>
      </w:r>
    </w:p>
    <w:p>
      <w:pPr>
        <w:pStyle w:val="Standard1"/>
        <w:jc w:val="center"/>
        <w:rPr>
          <w:b/>
          <w:bCs/>
          <w:sz w:val="28"/>
          <w:szCs w:val="40"/>
        </w:rPr>
      </w:pPr>
      <w:r>
        <w:rPr>
          <w:b/>
          <w:bCs/>
          <w:sz w:val="28"/>
          <w:szCs w:val="40"/>
        </w:rPr>
      </w:r>
    </w:p>
    <w:p>
      <w:pPr>
        <w:pStyle w:val="Standard1"/>
        <w:jc w:val="center"/>
        <w:rPr>
          <w:b/>
          <w:bCs/>
          <w:sz w:val="28"/>
          <w:szCs w:val="40"/>
        </w:rPr>
      </w:pPr>
      <w:r>
        <w:rPr>
          <w:b/>
          <w:bCs/>
          <w:sz w:val="28"/>
          <w:szCs w:val="40"/>
        </w:rPr>
      </w:r>
    </w:p>
    <w:p>
      <w:pPr>
        <w:pStyle w:val="Standard1"/>
        <w:jc w:val="center"/>
        <w:rPr>
          <w:b/>
          <w:bCs/>
          <w:sz w:val="28"/>
          <w:szCs w:val="40"/>
        </w:rPr>
      </w:pPr>
      <w:r>
        <w:rPr>
          <w:b/>
          <w:bCs/>
          <w:sz w:val="28"/>
          <w:szCs w:val="40"/>
        </w:rPr>
      </w:r>
    </w:p>
    <w:p>
      <w:pPr>
        <w:pStyle w:val="Standard1"/>
        <w:jc w:val="center"/>
        <w:rPr>
          <w:b/>
          <w:bCs/>
          <w:sz w:val="28"/>
          <w:szCs w:val="40"/>
        </w:rPr>
      </w:pPr>
      <w:r>
        <w:rPr>
          <w:b/>
          <w:bCs/>
          <w:sz w:val="28"/>
          <w:szCs w:val="40"/>
        </w:rPr>
        <w:t>Rapport Annuel d’Activité</w:t>
      </w:r>
      <w:r>
        <w:rPr>
          <w:sz w:val="22"/>
          <w:szCs w:val="32"/>
        </w:rPr>
        <w:t xml:space="preserve"> (maj 8/11/2023)</w:t>
      </w:r>
    </w:p>
    <w:p>
      <w:pPr>
        <w:pStyle w:val="Standard1"/>
        <w:jc w:val="center"/>
        <w:rPr>
          <w:b/>
          <w:bCs/>
          <w:sz w:val="28"/>
          <w:szCs w:val="40"/>
        </w:rPr>
      </w:pPr>
      <w:r>
        <w:rPr>
          <w:b/>
          <w:bCs/>
          <w:sz w:val="28"/>
          <w:szCs w:val="40"/>
        </w:rPr>
      </w:r>
    </w:p>
    <w:p>
      <w:pPr>
        <w:pStyle w:val="Footer"/>
        <w:rPr/>
      </w:pPr>
      <w:r>
        <w:rPr>
          <w:rFonts w:ascii="Cambria" w:hAnsi="Cambria"/>
          <w:sz w:val="20"/>
        </w:rPr>
        <w:t xml:space="preserve">Le rapport annuel d’activité doit-être préparé, </w:t>
      </w:r>
      <w:r>
        <w:rPr>
          <w:rFonts w:ascii="Cambria" w:hAnsi="Cambria"/>
          <w:b/>
          <w:bCs/>
          <w:sz w:val="20"/>
        </w:rPr>
        <w:t>dè</w:t>
      </w:r>
      <w:r>
        <w:rPr>
          <w:rFonts w:ascii="Cambria" w:hAnsi="Cambria"/>
          <w:b/>
          <w:sz w:val="20"/>
        </w:rPr>
        <w:t>s le mois de mai</w:t>
      </w:r>
      <w:r>
        <w:rPr>
          <w:rFonts w:ascii="Cambria" w:hAnsi="Cambria"/>
          <w:bCs/>
          <w:sz w:val="20"/>
        </w:rPr>
        <w:t xml:space="preserve"> de chaque année, par le doctorant qui envisage une réinscription. Après avis et commentaires de son Directeur de Thèse, le doctorant transmet le rapport annuel signé et ses annexes</w:t>
      </w:r>
      <w:r>
        <w:rPr>
          <w:rStyle w:val="FootnoteReference"/>
          <w:rFonts w:ascii="Cambria" w:hAnsi="Cambria"/>
          <w:bCs/>
          <w:sz w:val="20"/>
        </w:rPr>
        <w:footnoteReference w:id="2"/>
      </w:r>
      <w:r>
        <w:rPr>
          <w:rFonts w:ascii="Cambria" w:hAnsi="Cambria"/>
          <w:bCs/>
          <w:sz w:val="20"/>
        </w:rPr>
        <w:t xml:space="preserve"> à son Référent Scientifique, à son Directeur de Thèse et à tous les membres de son CSI en précisant les dates et heures des échéances suivantes. </w:t>
      </w:r>
    </w:p>
    <w:p>
      <w:pPr>
        <w:pStyle w:val="Standard1"/>
        <w:jc w:val="center"/>
        <w:rPr>
          <w:bCs/>
          <w:sz w:val="16"/>
          <w:szCs w:val="40"/>
        </w:rPr>
      </w:pPr>
      <w:r>
        <w:rPr>
          <w:bCs/>
          <w:sz w:val="16"/>
          <w:szCs w:val="40"/>
        </w:rPr>
      </w:r>
    </w:p>
    <w:tbl>
      <w:tblPr>
        <w:tblW w:w="9031"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816"/>
        <w:gridCol w:w="2692"/>
        <w:gridCol w:w="2825"/>
        <w:gridCol w:w="1698"/>
      </w:tblGrid>
      <w:tr>
        <w:trPr/>
        <w:tc>
          <w:tcPr>
            <w:tcW w:w="1816" w:type="dxa"/>
            <w:tcBorders>
              <w:top w:val="single" w:sz="4" w:space="0" w:color="000000"/>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NOM :</w:t>
            </w:r>
          </w:p>
        </w:tc>
        <w:tc>
          <w:tcPr>
            <w:tcW w:w="2692" w:type="dxa"/>
            <w:tcBorders>
              <w:top w:val="single" w:sz="4" w:space="0" w:color="000000"/>
              <w:start w:val="single" w:sz="4" w:space="0" w:color="000000"/>
              <w:bottom w:val="single" w:sz="4" w:space="0" w:color="000000"/>
            </w:tcBorders>
            <w:shd w:color="auto" w:fill="auto" w:val="clear"/>
            <w:vAlign w:val="center"/>
          </w:tcPr>
          <w:p>
            <w:pPr>
              <w:pStyle w:val="Standard1"/>
              <w:snapToGrid w:val="false"/>
              <w:jc w:val="start"/>
              <w:rPr>
                <w:b/>
                <w:bCs/>
                <w:sz w:val="20"/>
                <w:szCs w:val="40"/>
              </w:rPr>
            </w:pPr>
            <w:r>
              <w:rPr>
                <w:b/>
                <w:bCs/>
                <w:sz w:val="20"/>
                <w:szCs w:val="40"/>
              </w:rPr>
              <w:t>Serva</w:t>
            </w:r>
          </w:p>
        </w:tc>
        <w:tc>
          <w:tcPr>
            <w:tcW w:w="2825" w:type="dxa"/>
            <w:tcBorders>
              <w:top w:val="single" w:sz="4" w:space="0" w:color="000000"/>
              <w:start w:val="single" w:sz="4" w:space="0" w:color="000000"/>
              <w:bottom w:val="single" w:sz="4" w:space="0" w:color="000000"/>
            </w:tcBorders>
            <w:shd w:color="auto" w:fill="auto" w:val="clear"/>
            <w:vAlign w:val="center"/>
          </w:tcPr>
          <w:p>
            <w:pPr>
              <w:pStyle w:val="Standard1"/>
              <w:snapToGrid w:val="false"/>
              <w:jc w:val="start"/>
              <w:rPr/>
            </w:pPr>
            <w:r>
              <w:rPr>
                <w:bCs/>
                <w:sz w:val="20"/>
                <w:szCs w:val="40"/>
              </w:rPr>
              <w:t>Date 1</w:t>
            </w:r>
            <w:r>
              <w:rPr>
                <w:bCs/>
                <w:sz w:val="20"/>
                <w:szCs w:val="40"/>
                <w:vertAlign w:val="superscript"/>
              </w:rPr>
              <w:t>ère</w:t>
            </w:r>
            <w:r>
              <w:rPr>
                <w:bCs/>
                <w:sz w:val="20"/>
                <w:szCs w:val="40"/>
              </w:rPr>
              <w:t xml:space="preserve"> inscription en thèse</w:t>
            </w:r>
          </w:p>
        </w:tc>
        <w:tc>
          <w:tcPr>
            <w:tcW w:w="169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 xml:space="preserve">   </w:t>
            </w:r>
            <w:r>
              <w:rPr>
                <w:b/>
                <w:bCs/>
                <w:sz w:val="20"/>
                <w:szCs w:val="40"/>
              </w:rPr>
              <w:t>01 / 11 / 2025</w:t>
            </w:r>
          </w:p>
        </w:tc>
      </w:tr>
      <w:tr>
        <w:trPr>
          <w:trHeight w:val="210" w:hRule="atLeast"/>
        </w:trPr>
        <w:tc>
          <w:tcPr>
            <w:tcW w:w="1816"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Prénom :</w:t>
            </w:r>
          </w:p>
        </w:tc>
        <w:tc>
          <w:tcPr>
            <w:tcW w:w="2692" w:type="dxa"/>
            <w:tcBorders>
              <w:start w:val="single" w:sz="4" w:space="0" w:color="000000"/>
              <w:bottom w:val="single" w:sz="4" w:space="0" w:color="000000"/>
            </w:tcBorders>
            <w:shd w:color="auto" w:fill="auto" w:val="clear"/>
            <w:vAlign w:val="center"/>
          </w:tcPr>
          <w:p>
            <w:pPr>
              <w:pStyle w:val="Standard1"/>
              <w:snapToGrid w:val="false"/>
              <w:jc w:val="start"/>
              <w:rPr>
                <w:b/>
                <w:bCs/>
                <w:sz w:val="20"/>
                <w:szCs w:val="40"/>
              </w:rPr>
            </w:pPr>
            <w:r>
              <w:rPr>
                <w:b/>
                <w:bCs/>
                <w:sz w:val="20"/>
                <w:szCs w:val="40"/>
              </w:rPr>
              <w:t>Benjamin</w:t>
            </w:r>
          </w:p>
        </w:tc>
        <w:tc>
          <w:tcPr>
            <w:tcW w:w="2825"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Date prévue pour le CSI :</w:t>
            </w:r>
          </w:p>
        </w:tc>
        <w:tc>
          <w:tcPr>
            <w:tcW w:w="1698"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1"/>
                <w:szCs w:val="21"/>
              </w:rPr>
              <w:t>15 / 07 / 2026</w:t>
            </w:r>
          </w:p>
        </w:tc>
      </w:tr>
      <w:tr>
        <w:trPr/>
        <w:tc>
          <w:tcPr>
            <w:tcW w:w="1816"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Spéc. Doctorale :</w:t>
            </w:r>
          </w:p>
        </w:tc>
        <w:tc>
          <w:tcPr>
            <w:tcW w:w="2692" w:type="dxa"/>
            <w:tcBorders>
              <w:start w:val="single" w:sz="4" w:space="0" w:color="000000"/>
              <w:bottom w:val="single" w:sz="4" w:space="0" w:color="000000"/>
            </w:tcBorders>
            <w:shd w:color="auto" w:fill="auto" w:val="clear"/>
            <w:vAlign w:val="center"/>
          </w:tcPr>
          <w:p>
            <w:pPr>
              <w:pStyle w:val="Standard1"/>
              <w:snapToGrid w:val="false"/>
              <w:jc w:val="start"/>
              <w:rPr>
                <w:b/>
                <w:bCs/>
                <w:sz w:val="20"/>
                <w:szCs w:val="40"/>
              </w:rPr>
            </w:pPr>
            <w:r>
              <w:rPr>
                <w:b/>
                <w:bCs/>
                <w:sz w:val="20"/>
                <w:szCs w:val="40"/>
              </w:rPr>
              <w:t>Informatique</w:t>
            </w:r>
          </w:p>
        </w:tc>
        <w:tc>
          <w:tcPr>
            <w:tcW w:w="2825"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Inscription demandée en</w:t>
            </w:r>
          </w:p>
        </w:tc>
        <w:tc>
          <w:tcPr>
            <w:tcW w:w="1698"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pPr>
            <w:r>
              <w:rPr>
                <w:sz w:val="20"/>
                <w:szCs w:val="40"/>
              </w:rPr>
              <w:t xml:space="preserve">2 </w:t>
            </w:r>
            <w:r>
              <w:rPr>
                <w:b/>
                <w:bCs/>
                <w:sz w:val="20"/>
                <w:szCs w:val="40"/>
                <w:vertAlign w:val="superscript"/>
              </w:rPr>
              <w:t>ème</w:t>
            </w:r>
            <w:r>
              <w:rPr>
                <w:b/>
                <w:bCs/>
                <w:sz w:val="20"/>
                <w:szCs w:val="40"/>
              </w:rPr>
              <w:t xml:space="preserve"> année</w:t>
            </w:r>
          </w:p>
        </w:tc>
      </w:tr>
      <w:tr>
        <w:trPr/>
        <w:tc>
          <w:tcPr>
            <w:tcW w:w="4508" w:type="dxa"/>
            <w:gridSpan w:val="2"/>
            <w:tcBorders>
              <w:start w:val="single" w:sz="4" w:space="0" w:color="000000"/>
              <w:bottom w:val="single" w:sz="4" w:space="0" w:color="000000"/>
            </w:tcBorders>
            <w:shd w:color="auto" w:fill="auto" w:val="clear"/>
          </w:tcPr>
          <w:p>
            <w:pPr>
              <w:pStyle w:val="Standard1"/>
              <w:snapToGrid w:val="false"/>
              <w:jc w:val="start"/>
              <w:rPr>
                <w:bCs/>
                <w:sz w:val="20"/>
                <w:szCs w:val="40"/>
              </w:rPr>
            </w:pPr>
            <w:r>
              <w:rPr>
                <w:bCs/>
                <w:sz w:val="20"/>
                <w:szCs w:val="40"/>
              </w:rPr>
              <w:t>Directeur(s), HDR : STRAUSS Olivier</w:t>
            </w:r>
          </w:p>
          <w:p>
            <w:pPr>
              <w:pStyle w:val="Standard1"/>
              <w:snapToGrid w:val="false"/>
              <w:jc w:val="start"/>
              <w:rPr>
                <w:bCs/>
                <w:sz w:val="20"/>
                <w:szCs w:val="40"/>
              </w:rPr>
            </w:pPr>
            <w:r>
              <w:rPr>
                <w:bCs/>
                <w:sz w:val="20"/>
                <w:szCs w:val="40"/>
              </w:rPr>
            </w:r>
          </w:p>
        </w:tc>
        <w:tc>
          <w:tcPr>
            <w:tcW w:w="4523" w:type="dxa"/>
            <w:gridSpan w:val="2"/>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Cs/>
                <w:sz w:val="20"/>
                <w:szCs w:val="40"/>
              </w:rPr>
            </w:pPr>
            <w:r>
              <w:rPr>
                <w:bCs/>
                <w:sz w:val="20"/>
                <w:szCs w:val="40"/>
              </w:rPr>
              <w:t>Financement pour la prochaine année universitaire : Projet ANR Numalyse</w:t>
            </w:r>
          </w:p>
          <w:p>
            <w:pPr>
              <w:pStyle w:val="Standard1"/>
              <w:snapToGrid w:val="false"/>
              <w:jc w:val="start"/>
              <w:rPr>
                <w:b/>
                <w:bCs/>
                <w:sz w:val="20"/>
                <w:szCs w:val="40"/>
              </w:rPr>
            </w:pPr>
            <w:r>
              <w:rPr>
                <w:b/>
                <w:bCs/>
                <w:sz w:val="20"/>
                <w:szCs w:val="40"/>
              </w:rPr>
            </w:r>
          </w:p>
        </w:tc>
      </w:tr>
      <w:tr>
        <w:trPr/>
        <w:tc>
          <w:tcPr>
            <w:tcW w:w="1816"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Unité d’Accueil</w:t>
            </w:r>
          </w:p>
        </w:tc>
        <w:tc>
          <w:tcPr>
            <w:tcW w:w="7215" w:type="dxa"/>
            <w:gridSpan w:val="3"/>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LIRMM – Equipe ICAR</w:t>
            </w:r>
          </w:p>
        </w:tc>
      </w:tr>
      <w:tr>
        <w:trPr/>
        <w:tc>
          <w:tcPr>
            <w:tcW w:w="1816" w:type="dxa"/>
            <w:tcBorders>
              <w:start w:val="single" w:sz="4" w:space="0" w:color="000000"/>
              <w:bottom w:val="single" w:sz="4" w:space="0" w:color="000000"/>
            </w:tcBorders>
            <w:shd w:color="auto" w:fill="auto" w:val="clear"/>
            <w:vAlign w:val="center"/>
          </w:tcPr>
          <w:p>
            <w:pPr>
              <w:pStyle w:val="Standard1"/>
              <w:snapToGrid w:val="false"/>
              <w:jc w:val="start"/>
              <w:rPr>
                <w:bCs/>
                <w:sz w:val="20"/>
                <w:szCs w:val="40"/>
              </w:rPr>
            </w:pPr>
            <w:r>
              <w:rPr>
                <w:bCs/>
                <w:sz w:val="20"/>
                <w:szCs w:val="40"/>
              </w:rPr>
              <w:t>Titre de la thèse</w:t>
            </w:r>
          </w:p>
        </w:tc>
        <w:tc>
          <w:tcPr>
            <w:tcW w:w="7215" w:type="dxa"/>
            <w:gridSpan w:val="3"/>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Développement de méthodes d'analyse d’œuvres cinématographiques par intelligence artificielle</w:t>
            </w:r>
          </w:p>
          <w:p>
            <w:pPr>
              <w:pStyle w:val="Standard1"/>
              <w:snapToGrid w:val="false"/>
              <w:jc w:val="start"/>
              <w:rPr>
                <w:b/>
                <w:bCs/>
                <w:sz w:val="20"/>
                <w:szCs w:val="40"/>
              </w:rPr>
            </w:pPr>
            <w:r>
              <w:rPr>
                <w:b/>
                <w:bCs/>
                <w:sz w:val="20"/>
                <w:szCs w:val="40"/>
              </w:rPr>
            </w:r>
          </w:p>
        </w:tc>
      </w:tr>
    </w:tbl>
    <w:p>
      <w:pPr>
        <w:pStyle w:val="Standard1"/>
        <w:rPr/>
      </w:pPr>
      <w:r>
        <w:rPr/>
      </w:r>
    </w:p>
    <w:p>
      <w:pPr>
        <w:pStyle w:val="Standard1"/>
        <w:rPr>
          <w:b/>
          <w:bCs/>
        </w:rPr>
      </w:pPr>
      <w:r>
        <w:rPr>
          <w:b/>
          <w:bCs/>
        </w:rPr>
        <w:t>Bilan de l’année écoulée</w:t>
      </w:r>
    </w:p>
    <w:tbl>
      <w:tblPr>
        <w:tblW w:w="9034"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2917"/>
        <w:gridCol w:w="1076"/>
        <w:gridCol w:w="5041"/>
      </w:tblGrid>
      <w:tr>
        <w:trPr/>
        <w:tc>
          <w:tcPr>
            <w:tcW w:w="2917" w:type="dxa"/>
            <w:tcBorders>
              <w:bottom w:val="single" w:sz="4" w:space="0" w:color="000000"/>
            </w:tcBorders>
            <w:shd w:color="auto" w:fill="auto" w:val="clear"/>
            <w:vAlign w:val="center"/>
          </w:tcPr>
          <w:p>
            <w:pPr>
              <w:pStyle w:val="Standard1"/>
              <w:snapToGrid w:val="false"/>
              <w:jc w:val="center"/>
              <w:rPr>
                <w:b/>
                <w:bCs/>
                <w:szCs w:val="40"/>
              </w:rPr>
            </w:pPr>
            <w:r>
              <w:rPr>
                <w:b/>
                <w:bCs/>
                <w:szCs w:val="40"/>
              </w:rPr>
            </w:r>
          </w:p>
        </w:tc>
        <w:tc>
          <w:tcPr>
            <w:tcW w:w="1076" w:type="dxa"/>
            <w:tcBorders>
              <w:bottom w:val="single" w:sz="4" w:space="0" w:color="000000"/>
            </w:tcBorders>
            <w:shd w:color="auto" w:fill="auto" w:val="clear"/>
            <w:vAlign w:val="center"/>
          </w:tcPr>
          <w:p>
            <w:pPr>
              <w:pStyle w:val="Standard1"/>
              <w:snapToGrid w:val="false"/>
              <w:jc w:val="start"/>
              <w:rPr>
                <w:b/>
                <w:bCs/>
                <w:sz w:val="20"/>
                <w:szCs w:val="40"/>
              </w:rPr>
            </w:pPr>
            <w:r>
              <w:rPr>
                <w:b/>
                <w:bCs/>
                <w:sz w:val="20"/>
                <w:szCs w:val="40"/>
              </w:rPr>
            </w:r>
          </w:p>
        </w:tc>
        <w:tc>
          <w:tcPr>
            <w:tcW w:w="50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Standard1"/>
              <w:snapToGrid w:val="false"/>
              <w:jc w:val="center"/>
              <w:rPr>
                <w:bCs/>
                <w:sz w:val="20"/>
                <w:szCs w:val="40"/>
              </w:rPr>
            </w:pPr>
            <w:r>
              <w:rPr>
                <w:bCs/>
                <w:sz w:val="20"/>
                <w:szCs w:val="40"/>
              </w:rPr>
              <w:t>Commentaires et détails</w:t>
            </w:r>
          </w:p>
        </w:tc>
      </w:tr>
      <w:tr>
        <w:trPr>
          <w:trHeight w:val="227" w:hRule="atLeast"/>
        </w:trPr>
        <w:tc>
          <w:tcPr>
            <w:tcW w:w="2917" w:type="dxa"/>
            <w:vMerge w:val="restart"/>
            <w:tcBorders>
              <w:top w:val="single" w:sz="4" w:space="0" w:color="000000"/>
              <w:start w:val="single" w:sz="4" w:space="0" w:color="000000"/>
              <w:bottom w:val="single" w:sz="4" w:space="0" w:color="000000"/>
            </w:tcBorders>
            <w:shd w:color="auto" w:fill="auto" w:val="clear"/>
            <w:tcMar>
              <w:top w:w="108" w:type="dxa"/>
              <w:bottom w:w="108" w:type="dxa"/>
            </w:tcMar>
            <w:vAlign w:val="center"/>
          </w:tcPr>
          <w:p>
            <w:pPr>
              <w:pStyle w:val="Standard1"/>
              <w:snapToGrid w:val="false"/>
              <w:rPr>
                <w:b/>
                <w:bCs/>
                <w:sz w:val="20"/>
                <w:szCs w:val="40"/>
              </w:rPr>
            </w:pPr>
            <w:r>
              <w:rPr>
                <w:b/>
                <w:bCs/>
                <w:sz w:val="20"/>
                <w:szCs w:val="40"/>
              </w:rPr>
              <w:t>Atteinte des objectifs</w:t>
            </w:r>
          </w:p>
          <w:p>
            <w:pPr>
              <w:pStyle w:val="Standard1"/>
              <w:snapToGrid w:val="false"/>
              <w:rPr>
                <w:bCs/>
                <w:sz w:val="14"/>
                <w:szCs w:val="40"/>
              </w:rPr>
            </w:pPr>
            <w:r>
              <w:rPr>
                <w:bCs/>
                <w:sz w:val="14"/>
                <w:szCs w:val="40"/>
              </w:rPr>
            </w:r>
          </w:p>
          <w:p>
            <w:pPr>
              <w:pStyle w:val="Standard1"/>
              <w:snapToGrid w:val="false"/>
              <w:rPr/>
            </w:pPr>
            <w:r>
              <w:rPr>
                <w:bCs/>
                <w:sz w:val="14"/>
                <w:szCs w:val="40"/>
              </w:rPr>
              <w:t>Précisez ici les objectifs atteints, ceux en cours d’obtention et ceux qui ne l’ont pas encore été…</w:t>
            </w:r>
          </w:p>
        </w:tc>
        <w:tc>
          <w:tcPr>
            <w:tcW w:w="1076" w:type="dxa"/>
            <w:tcBorders>
              <w:top w:val="single" w:sz="4" w:space="0" w:color="000000"/>
              <w:start w:val="single" w:sz="4" w:space="0" w:color="000000"/>
              <w:bottom w:val="single" w:sz="4" w:space="0" w:color="000000"/>
              <w:end w:val="single" w:sz="4" w:space="0" w:color="000000"/>
            </w:tcBorders>
            <w:shd w:color="auto" w:fill="auto" w:val="clear"/>
            <w:tcMar>
              <w:top w:w="108" w:type="dxa"/>
              <w:bottom w:w="108" w:type="dxa"/>
            </w:tcMar>
            <w:vAlign w:val="center"/>
          </w:tcPr>
          <w:p>
            <w:pPr>
              <w:pStyle w:val="Standard1"/>
              <w:snapToGrid w:val="false"/>
              <w:jc w:val="center"/>
              <w:rPr>
                <w:sz w:val="18"/>
                <w:szCs w:val="36"/>
              </w:rPr>
            </w:pPr>
            <w:r>
              <w:rPr>
                <w:sz w:val="18"/>
                <w:szCs w:val="36"/>
              </w:rPr>
              <w:t>Tâche 1</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sz w:val="20"/>
                <w:szCs w:val="40"/>
              </w:rPr>
            </w:pPr>
            <w:r>
              <w:rPr>
                <w:rStyle w:val="Strong"/>
                <w:sz w:val="20"/>
                <w:szCs w:val="40"/>
              </w:rPr>
              <w:t>Étude bibliographique sur les méthodes automatisées de segmentation en plans (atteinte)</w:t>
            </w:r>
            <w:r>
              <w:rPr>
                <w:sz w:val="20"/>
                <w:szCs w:val="40"/>
              </w:rPr>
              <w:br/>
              <w:t>Réalisation d’une étude bibliographique sur les méthodes de segmentation en plans afin d’identifier les différentes approches existantes ainsi que leurs limites. Cette étude a également permis d’identifier les jeux de données disponibles et représentatifs du cas d’application visé. Enfin, plusieurs méthodes issues de la littérature ont été évaluées sur un jeux de données commun.</w:t>
            </w:r>
          </w:p>
        </w:tc>
      </w:tr>
      <w:tr>
        <w:trPr>
          <w:trHeight w:val="227" w:hRule="atLeast"/>
        </w:trPr>
        <w:tc>
          <w:tcPr>
            <w:tcW w:w="2917" w:type="dxa"/>
            <w:vMerge w:val="continue"/>
            <w:tcBorders>
              <w:top w:val="single" w:sz="4" w:space="0" w:color="000000"/>
              <w:start w:val="single" w:sz="4" w:space="0" w:color="000000"/>
              <w:bottom w:val="single" w:sz="4" w:space="0" w:color="000000"/>
            </w:tcBorders>
            <w:shd w:color="auto" w:fill="auto" w:val="clear"/>
            <w:tcMar>
              <w:top w:w="108" w:type="dxa"/>
              <w:bottom w:w="108" w:type="dxa"/>
            </w:tcM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tcMar>
              <w:top w:w="108" w:type="dxa"/>
              <w:bottom w:w="108" w:type="dxa"/>
            </w:tcMar>
            <w:vAlign w:val="center"/>
          </w:tcPr>
          <w:p>
            <w:pPr>
              <w:pStyle w:val="Standard1"/>
              <w:snapToGrid w:val="false"/>
              <w:jc w:val="center"/>
              <w:rPr>
                <w:sz w:val="18"/>
                <w:szCs w:val="36"/>
              </w:rPr>
            </w:pPr>
            <w:r>
              <w:rPr>
                <w:sz w:val="18"/>
                <w:szCs w:val="36"/>
              </w:rPr>
              <w:t>Tâche 2</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sz w:val="20"/>
                <w:szCs w:val="40"/>
              </w:rPr>
            </w:pPr>
            <w:r>
              <w:rPr>
                <w:rStyle w:val="Strong"/>
                <w:sz w:val="20"/>
                <w:szCs w:val="40"/>
              </w:rPr>
              <w:t>Expérimentation pour une méthode d’extraction de tag-image (atteinte)</w:t>
            </w:r>
          </w:p>
          <w:p>
            <w:pPr>
              <w:pStyle w:val="Standard1"/>
              <w:snapToGrid w:val="false"/>
              <w:jc w:val="start"/>
              <w:rPr>
                <w:sz w:val="20"/>
                <w:szCs w:val="40"/>
              </w:rPr>
            </w:pPr>
            <w:r>
              <w:rPr>
                <w:rStyle w:val="Strong"/>
                <w:b w:val="false"/>
                <w:bCs w:val="false"/>
                <w:sz w:val="20"/>
                <w:szCs w:val="40"/>
              </w:rPr>
              <w:t>La notion de tag-image a été définie pour permettre d’identifier visuellement et de façon synthétique un plan lors d’un travail d’analyse cinématographique.</w:t>
            </w:r>
          </w:p>
          <w:p>
            <w:pPr>
              <w:pStyle w:val="Standard1"/>
              <w:snapToGrid w:val="false"/>
              <w:jc w:val="start"/>
              <w:rPr>
                <w:sz w:val="20"/>
                <w:szCs w:val="40"/>
              </w:rPr>
            </w:pPr>
            <w:r>
              <w:rPr>
                <w:rStyle w:val="Strong"/>
                <w:b w:val="false"/>
                <w:bCs w:val="false"/>
                <w:sz w:val="20"/>
                <w:szCs w:val="40"/>
              </w:rPr>
              <w:t>Ce travail a été initié lors de mon stage, durant lequel j’ai réalisé une étude bibliographique ainsi qu’une première élaboration méthodologique. Afin d’évaluer la pertinence de cette méthode, plusieurs protocoles expérimentaux ont été mis en place et réalisés.</w:t>
            </w:r>
          </w:p>
        </w:tc>
      </w:tr>
      <w:tr>
        <w:trPr>
          <w:trHeight w:val="227" w:hRule="atLeast"/>
        </w:trPr>
        <w:tc>
          <w:tcPr>
            <w:tcW w:w="2917" w:type="dxa"/>
            <w:vMerge w:val="continue"/>
            <w:tcBorders>
              <w:start w:val="single" w:sz="4" w:space="0" w:color="000000"/>
              <w:bottom w:val="single" w:sz="4" w:space="0" w:color="000000"/>
            </w:tcBorders>
            <w:shd w:color="auto" w:fill="auto" w:val="clear"/>
            <w:tcMar>
              <w:top w:w="108" w:type="dxa"/>
              <w:bottom w:w="108" w:type="dxa"/>
            </w:tcM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tcMar>
              <w:top w:w="108" w:type="dxa"/>
              <w:bottom w:w="108" w:type="dxa"/>
            </w:tcMar>
            <w:vAlign w:val="center"/>
          </w:tcPr>
          <w:p>
            <w:pPr>
              <w:pStyle w:val="Standard1"/>
              <w:snapToGrid w:val="false"/>
              <w:jc w:val="center"/>
              <w:rPr>
                <w:sz w:val="18"/>
                <w:szCs w:val="36"/>
              </w:rPr>
            </w:pPr>
            <w:r>
              <w:rPr>
                <w:sz w:val="18"/>
                <w:szCs w:val="36"/>
              </w:rPr>
              <w:t>Tâche 3</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Rédaction d’un article sur la méthode d’extraction de tag-image (atteinte)</w:t>
            </w:r>
          </w:p>
          <w:p>
            <w:pPr>
              <w:pStyle w:val="Standard1"/>
              <w:snapToGrid w:val="false"/>
              <w:jc w:val="start"/>
              <w:rPr>
                <w:sz w:val="20"/>
                <w:szCs w:val="40"/>
              </w:rPr>
            </w:pPr>
            <w:r>
              <w:rPr>
                <w:sz w:val="20"/>
                <w:szCs w:val="40"/>
              </w:rPr>
              <w:t>Valorisation de la méthode d’extraction d’une tag-image au sein d’un film, à travers la rédaction d’un article pour ICIP (IEEE International Conference on Image Processing).</w:t>
            </w:r>
          </w:p>
        </w:tc>
      </w:tr>
      <w:tr>
        <w:trPr>
          <w:trHeight w:val="227" w:hRule="atLeast"/>
        </w:trPr>
        <w:tc>
          <w:tcPr>
            <w:tcW w:w="2917" w:type="dxa"/>
            <w:vMerge w:val="continue"/>
            <w:tcBorders>
              <w:top w:val="single" w:sz="4" w:space="0" w:color="000000"/>
              <w:start w:val="single" w:sz="4" w:space="0" w:color="000000"/>
              <w:bottom w:val="single" w:sz="4" w:space="0" w:color="000000"/>
            </w:tcBorders>
            <w:shd w:color="auto" w:fill="auto" w:val="clear"/>
            <w:tcMar>
              <w:top w:w="108" w:type="dxa"/>
              <w:bottom w:w="108" w:type="dxa"/>
            </w:tcM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tcMar>
              <w:top w:w="108" w:type="dxa"/>
              <w:bottom w:w="108" w:type="dxa"/>
            </w:tcMar>
            <w:vAlign w:val="center"/>
          </w:tcPr>
          <w:p>
            <w:pPr>
              <w:pStyle w:val="Standard1"/>
              <w:snapToGrid w:val="false"/>
              <w:jc w:val="center"/>
              <w:rPr>
                <w:sz w:val="18"/>
                <w:szCs w:val="36"/>
              </w:rPr>
            </w:pPr>
            <w:r>
              <w:rPr>
                <w:sz w:val="18"/>
                <w:szCs w:val="36"/>
              </w:rPr>
              <w:t>Tâche 4</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rStyle w:val="Strong"/>
                <w:sz w:val="20"/>
                <w:szCs w:val="40"/>
              </w:rPr>
              <w:t>Étude bibliographique sur les méthodes de classification des mouvements de caméra (en cours)</w:t>
            </w:r>
            <w:r>
              <w:rPr>
                <w:sz w:val="20"/>
                <w:szCs w:val="40"/>
              </w:rPr>
              <w:br/>
              <w:t>Réalisation d’une étude bibliographique sur les méthodes de classification des mouvements de caméra afin d’identifier les différentes approches proposées dans la littérature ainsi que leurs limites.</w:t>
            </w:r>
          </w:p>
        </w:tc>
      </w:tr>
      <w:tr>
        <w:trPr/>
        <w:tc>
          <w:tcPr>
            <w:tcW w:w="2917" w:type="dxa"/>
            <w:tcBorders>
              <w:start w:val="single" w:sz="4" w:space="0" w:color="000000"/>
              <w:bottom w:val="single" w:sz="4" w:space="0" w:color="000000"/>
            </w:tcBorders>
            <w:shd w:color="auto" w:fill="auto" w:val="clear"/>
            <w:vAlign w:val="center"/>
          </w:tcPr>
          <w:p>
            <w:pPr>
              <w:pStyle w:val="Standard1"/>
              <w:snapToGrid w:val="false"/>
              <w:jc w:val="start"/>
              <w:rPr>
                <w:b/>
                <w:bCs/>
                <w:sz w:val="20"/>
                <w:szCs w:val="40"/>
              </w:rPr>
            </w:pPr>
            <w:r>
              <w:rPr>
                <w:b/>
                <w:bCs/>
                <w:sz w:val="20"/>
                <w:szCs w:val="40"/>
              </w:rPr>
              <w:t>Encadrement</w:t>
            </w:r>
            <w:r>
              <w:rPr>
                <w:bCs/>
                <w:sz w:val="20"/>
                <w:szCs w:val="40"/>
              </w:rPr>
              <w:t xml:space="preserve"> </w:t>
            </w:r>
            <w:r>
              <w:rPr>
                <w:bCs/>
                <w:sz w:val="14"/>
                <w:szCs w:val="40"/>
              </w:rPr>
              <w:t>(les réalités de l’équipe d’encadrement sont-elles conformes à ce qui est indiqué sur votre profil ADUM ? si NON, décrire les changements à apporter)</w:t>
            </w:r>
          </w:p>
        </w:tc>
        <w:tc>
          <w:tcPr>
            <w:tcW w:w="1076" w:type="dxa"/>
            <w:tcBorders>
              <w:start w:val="single" w:sz="4" w:space="0" w:color="000000"/>
              <w:bottom w:val="single" w:sz="4" w:space="0" w:color="000000"/>
            </w:tcBorders>
            <w:shd w:color="auto" w:fill="auto" w:val="clear"/>
            <w:vAlign w:val="center"/>
          </w:tcPr>
          <w:p>
            <w:pPr>
              <w:pStyle w:val="Standard1"/>
              <w:snapToGrid w:val="false"/>
              <w:jc w:val="start"/>
              <w:rPr>
                <w:sz w:val="15"/>
                <w:szCs w:val="28"/>
              </w:rPr>
            </w:pPr>
            <w:r>
              <w:rPr>
                <w:sz w:val="18"/>
                <w:szCs w:val="36"/>
              </w:rPr>
              <w:t xml:space="preserve">     </w:t>
            </w:r>
            <w:r>
              <w:rPr>
                <w:sz w:val="18"/>
                <w:szCs w:val="36"/>
              </w:rPr>
              <w:t>Oui</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Aucun changement d’encadrement.</w:t>
            </w:r>
          </w:p>
        </w:tc>
      </w:tr>
      <w:tr>
        <w:trPr/>
        <w:tc>
          <w:tcPr>
            <w:tcW w:w="2917" w:type="dxa"/>
            <w:tcBorders>
              <w:start w:val="single" w:sz="4" w:space="0" w:color="000000"/>
              <w:bottom w:val="single" w:sz="4" w:space="0" w:color="000000"/>
            </w:tcBorders>
            <w:shd w:color="auto" w:fill="auto" w:val="clear"/>
            <w:vAlign w:val="center"/>
          </w:tcPr>
          <w:p>
            <w:pPr>
              <w:pStyle w:val="Standard1"/>
              <w:snapToGrid w:val="false"/>
              <w:jc w:val="start"/>
              <w:rPr/>
            </w:pPr>
            <w:r>
              <w:rPr>
                <w:b/>
                <w:bCs/>
                <w:sz w:val="20"/>
                <w:szCs w:val="40"/>
              </w:rPr>
              <w:t>Points bloquants</w:t>
            </w:r>
            <w:r>
              <w:rPr>
                <w:bCs/>
                <w:sz w:val="20"/>
                <w:szCs w:val="40"/>
              </w:rPr>
              <w:t xml:space="preserve"> </w:t>
            </w:r>
            <w:r>
              <w:rPr>
                <w:bCs/>
                <w:sz w:val="14"/>
                <w:szCs w:val="40"/>
              </w:rPr>
              <w:t>(détaillez les problèmes rencontrés qui pourraient nécessiter une réorientation des objectifs de la thèse ou entrainer des retards)</w:t>
            </w:r>
          </w:p>
        </w:tc>
        <w:tc>
          <w:tcPr>
            <w:tcW w:w="1076" w:type="dxa"/>
            <w:tcBorders>
              <w:start w:val="single" w:sz="4" w:space="0" w:color="000000"/>
              <w:bottom w:val="single" w:sz="4" w:space="0" w:color="000000"/>
            </w:tcBorders>
            <w:shd w:color="auto" w:fill="auto" w:val="clear"/>
            <w:vAlign w:val="center"/>
          </w:tcPr>
          <w:p>
            <w:pPr>
              <w:pStyle w:val="Standard1"/>
              <w:snapToGrid w:val="false"/>
              <w:jc w:val="start"/>
              <w:rPr/>
            </w:pPr>
            <w:r>
              <w:rPr>
                <w:sz w:val="15"/>
                <w:szCs w:val="28"/>
              </w:rPr>
              <w:t xml:space="preserve">      </w:t>
            </w:r>
            <w:r>
              <w:rPr>
                <w:sz w:val="18"/>
                <w:szCs w:val="36"/>
              </w:rPr>
              <w:t>Oui</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r>
          </w:p>
          <w:p>
            <w:pPr>
              <w:pStyle w:val="Standard1"/>
              <w:snapToGrid w:val="false"/>
              <w:jc w:val="start"/>
              <w:rPr>
                <w:b/>
                <w:bCs/>
                <w:sz w:val="20"/>
                <w:szCs w:val="40"/>
              </w:rPr>
            </w:pPr>
            <w:r>
              <w:rPr>
                <w:sz w:val="20"/>
                <w:szCs w:val="40"/>
              </w:rPr>
              <w:t>jeux de données cinématographiques représentatif de la variété des œuvres comportant différents types de transitions et en particulier des transitions progressives longues actuellement inexistant.</w:t>
            </w:r>
          </w:p>
          <w:p>
            <w:pPr>
              <w:pStyle w:val="Standard1"/>
              <w:snapToGrid w:val="false"/>
              <w:jc w:val="start"/>
              <w:rPr>
                <w:b/>
                <w:bCs/>
                <w:sz w:val="20"/>
                <w:szCs w:val="40"/>
              </w:rPr>
            </w:pPr>
            <w:r>
              <w:rPr>
                <w:b/>
                <w:bCs/>
                <w:sz w:val="20"/>
                <w:szCs w:val="40"/>
              </w:rPr>
            </w:r>
          </w:p>
        </w:tc>
      </w:tr>
      <w:tr>
        <w:trPr/>
        <w:tc>
          <w:tcPr>
            <w:tcW w:w="2917" w:type="dxa"/>
            <w:tcBorders>
              <w:start w:val="single" w:sz="4" w:space="0" w:color="000000"/>
              <w:bottom w:val="single" w:sz="4" w:space="0" w:color="000000"/>
            </w:tcBorders>
            <w:shd w:color="auto" w:fill="auto" w:val="clear"/>
            <w:vAlign w:val="center"/>
          </w:tcPr>
          <w:p>
            <w:pPr>
              <w:pStyle w:val="Standard1"/>
              <w:snapToGrid w:val="false"/>
              <w:jc w:val="start"/>
              <w:rPr/>
            </w:pPr>
            <w:r>
              <w:rPr>
                <w:b/>
                <w:bCs/>
                <w:sz w:val="20"/>
                <w:szCs w:val="40"/>
              </w:rPr>
              <w:t>Retard estimé</w:t>
            </w:r>
            <w:r>
              <w:rPr>
                <w:bCs/>
                <w:sz w:val="20"/>
                <w:szCs w:val="40"/>
              </w:rPr>
              <w:t xml:space="preserve"> </w:t>
            </w:r>
            <w:r>
              <w:rPr>
                <w:bCs/>
                <w:sz w:val="14"/>
                <w:szCs w:val="40"/>
              </w:rPr>
              <w:t>(précisez ci-contre le nombre de mois et l’origine de ce retard)</w:t>
            </w:r>
          </w:p>
        </w:tc>
        <w:tc>
          <w:tcPr>
            <w:tcW w:w="1076" w:type="dxa"/>
            <w:tcBorders>
              <w:start w:val="single" w:sz="4" w:space="0" w:color="000000"/>
              <w:bottom w:val="single" w:sz="4" w:space="0" w:color="000000"/>
            </w:tcBorders>
            <w:shd w:color="auto" w:fill="auto" w:val="clear"/>
            <w:vAlign w:val="center"/>
          </w:tcPr>
          <w:p>
            <w:pPr>
              <w:pStyle w:val="Standard1"/>
              <w:snapToGrid w:val="false"/>
              <w:jc w:val="start"/>
              <w:rPr/>
            </w:pPr>
            <w:r>
              <w:rPr>
                <w:sz w:val="18"/>
                <w:szCs w:val="36"/>
              </w:rPr>
              <w:t xml:space="preserve">    </w:t>
            </w:r>
            <w:r>
              <w:rPr>
                <w:sz w:val="18"/>
                <w:szCs w:val="36"/>
              </w:rPr>
              <w:t>Non</w:t>
            </w:r>
          </w:p>
        </w:tc>
        <w:tc>
          <w:tcPr>
            <w:tcW w:w="5041"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start"/>
              <w:rPr>
                <w:b/>
                <w:bCs/>
                <w:sz w:val="20"/>
                <w:szCs w:val="40"/>
              </w:rPr>
            </w:pPr>
            <w:r>
              <w:rPr>
                <w:b/>
                <w:bCs/>
                <w:sz w:val="20"/>
                <w:szCs w:val="40"/>
              </w:rPr>
              <w:t xml:space="preserve"> </w:t>
            </w:r>
            <w:r>
              <w:rPr>
                <w:b/>
                <w:bCs/>
                <w:sz w:val="20"/>
                <w:szCs w:val="40"/>
              </w:rPr>
              <w:t>Aucun retard.</w:t>
            </w:r>
          </w:p>
        </w:tc>
      </w:tr>
    </w:tbl>
    <w:p>
      <w:pPr>
        <w:pStyle w:val="Standard1"/>
        <w:rPr/>
      </w:pPr>
      <w:r>
        <w:rPr/>
      </w:r>
    </w:p>
    <w:p>
      <w:pPr>
        <w:pStyle w:val="Standard1"/>
        <w:rPr>
          <w:b/>
          <w:bCs/>
        </w:rPr>
      </w:pPr>
      <w:r>
        <w:rPr>
          <w:b/>
          <w:bCs/>
        </w:rPr>
        <w:t>Planning des travaux pour les 12 prochains mois</w:t>
      </w:r>
    </w:p>
    <w:tbl>
      <w:tblPr>
        <w:tblW w:w="9034" w:type="dxa"/>
        <w:jc w:val="center"/>
        <w:tblInd w:w="0" w:type="dxa"/>
        <w:tblLayout w:type="fixed"/>
        <w:tblCellMar>
          <w:top w:w="108" w:type="dxa"/>
          <w:start w:w="108" w:type="dxa"/>
          <w:bottom w:w="108" w:type="dxa"/>
          <w:end w:w="108" w:type="dxa"/>
        </w:tblCellMar>
        <w:tblLook w:noHBand="0" w:noVBand="1" w:firstColumn="1" w:lastRow="0" w:lastColumn="0" w:firstRow="1" w:val="04a0"/>
      </w:tblPr>
      <w:tblGrid>
        <w:gridCol w:w="2861"/>
        <w:gridCol w:w="1076"/>
        <w:gridCol w:w="5057"/>
        <w:gridCol w:w="40"/>
      </w:tblGrid>
      <w:tr>
        <w:trPr>
          <w:trHeight w:val="170" w:hRule="atLeast"/>
        </w:trPr>
        <w:tc>
          <w:tcPr>
            <w:tcW w:w="2861" w:type="dxa"/>
            <w:tcBorders/>
            <w:shd w:color="auto" w:fill="auto" w:val="clear"/>
            <w:vAlign w:val="center"/>
          </w:tcPr>
          <w:p>
            <w:pPr>
              <w:pStyle w:val="Standard1"/>
              <w:snapToGrid w:val="false"/>
              <w:jc w:val="center"/>
              <w:rPr>
                <w:sz w:val="20"/>
                <w:szCs w:val="28"/>
              </w:rPr>
            </w:pPr>
            <w:r>
              <w:rPr>
                <w:sz w:val="20"/>
                <w:szCs w:val="28"/>
              </w:rPr>
            </w:r>
          </w:p>
        </w:tc>
        <w:tc>
          <w:tcPr>
            <w:tcW w:w="1076" w:type="dxa"/>
            <w:tcBorders/>
            <w:shd w:color="auto" w:fill="auto" w:val="clear"/>
            <w:vAlign w:val="center"/>
          </w:tcPr>
          <w:p>
            <w:pPr>
              <w:pStyle w:val="Standard1"/>
              <w:snapToGrid w:val="false"/>
              <w:jc w:val="center"/>
              <w:rPr>
                <w:sz w:val="20"/>
                <w:szCs w:val="28"/>
              </w:rPr>
            </w:pPr>
            <w:r>
              <w:rPr>
                <w:sz w:val="20"/>
                <w:szCs w:val="28"/>
              </w:rPr>
            </w:r>
          </w:p>
        </w:tc>
        <w:tc>
          <w:tcPr>
            <w:tcW w:w="5057" w:type="dxa"/>
            <w:tcBorders>
              <w:top w:val="single" w:sz="4" w:space="0" w:color="000000"/>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center"/>
              <w:rPr>
                <w:sz w:val="20"/>
                <w:szCs w:val="28"/>
              </w:rPr>
            </w:pPr>
            <w:r>
              <w:rPr>
                <w:sz w:val="20"/>
                <w:szCs w:val="28"/>
              </w:rPr>
              <w:t>Commentaires et détails</w:t>
            </w:r>
          </w:p>
        </w:tc>
        <w:tc>
          <w:tcPr>
            <w:tcW w:w="40" w:type="dxa"/>
            <w:tcBorders/>
            <w:shd w:color="auto" w:fill="auto" w:val="clear"/>
            <w:tcMar>
              <w:top w:w="0" w:type="dxa"/>
              <w:start w:w="10" w:type="dxa"/>
              <w:bottom w:w="0" w:type="dxa"/>
              <w:end w:w="10" w:type="dxa"/>
            </w:tcMar>
          </w:tcPr>
          <w:p>
            <w:pPr>
              <w:pStyle w:val="Standard1"/>
              <w:snapToGrid w:val="false"/>
              <w:jc w:val="center"/>
              <w:rPr>
                <w:sz w:val="20"/>
                <w:szCs w:val="28"/>
              </w:rPr>
            </w:pPr>
            <w:r>
              <w:rPr>
                <w:sz w:val="20"/>
                <w:szCs w:val="28"/>
              </w:rPr>
            </w:r>
          </w:p>
        </w:tc>
      </w:tr>
      <w:tr>
        <w:trPr>
          <w:trHeight w:val="230" w:hRule="atLeast"/>
        </w:trPr>
        <w:tc>
          <w:tcPr>
            <w:tcW w:w="2861" w:type="dxa"/>
            <w:vMerge w:val="restart"/>
            <w:tcBorders>
              <w:top w:val="single" w:sz="4" w:space="0" w:color="000000"/>
              <w:start w:val="single" w:sz="4" w:space="0" w:color="000000"/>
              <w:bottom w:val="single" w:sz="4" w:space="0" w:color="000000"/>
            </w:tcBorders>
            <w:shd w:color="auto" w:fill="auto" w:val="clear"/>
            <w:vAlign w:val="center"/>
          </w:tcPr>
          <w:p>
            <w:pPr>
              <w:pStyle w:val="Standard1"/>
              <w:snapToGrid w:val="false"/>
              <w:rPr>
                <w:b/>
                <w:bCs/>
                <w:sz w:val="20"/>
                <w:szCs w:val="40"/>
              </w:rPr>
            </w:pPr>
            <w:r>
              <w:rPr>
                <w:b/>
                <w:bCs/>
                <w:sz w:val="20"/>
                <w:szCs w:val="40"/>
              </w:rPr>
              <w:t>Plan de travail</w:t>
            </w:r>
          </w:p>
          <w:p>
            <w:pPr>
              <w:pStyle w:val="Standard1"/>
              <w:snapToGrid w:val="false"/>
              <w:rPr/>
            </w:pPr>
            <w:r>
              <w:rPr>
                <w:bCs/>
                <w:sz w:val="14"/>
                <w:szCs w:val="40"/>
              </w:rPr>
              <w:t>Pour les doctorants qui vont s’inscrire en 3</w:t>
            </w:r>
            <w:r>
              <w:rPr>
                <w:bCs/>
                <w:sz w:val="14"/>
                <w:szCs w:val="40"/>
                <w:vertAlign w:val="superscript"/>
              </w:rPr>
              <w:t>ème</w:t>
            </w:r>
            <w:r>
              <w:rPr>
                <w:bCs/>
                <w:sz w:val="14"/>
                <w:szCs w:val="40"/>
              </w:rPr>
              <w:t xml:space="preserve"> année de thèse penser à planifier la rédaction du manuscrit et à tenir compte d’un délai de 2 mois entre l’envoi du manuscrit au rapporteur et la soutenance publique. Pour une réinscription dérogatoire, insérer un lien de téléchargement sur le plan détaillé du manuscrit de thèse et/ou sur le manuscrit dans l’état (fichiers au format pdf).</w:t>
            </w:r>
          </w:p>
        </w:tc>
        <w:tc>
          <w:tcPr>
            <w:tcW w:w="10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1</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rStyle w:val="Strong"/>
                <w:sz w:val="20"/>
                <w:szCs w:val="40"/>
              </w:rPr>
              <w:t>Finalisation de l’étude bibliographique sur les méthodes de classification des mouvements de caméra (juin – octobre 2026)</w:t>
            </w:r>
            <w:r>
              <w:rPr>
                <w:sz w:val="20"/>
                <w:szCs w:val="40"/>
              </w:rPr>
              <w:br/>
              <w:t>Poursuite des recherches sur les méthodes d’estimation de mouvement mono-caméra afin de compléter l’étude bibliographique réalisée jusqu’à présent. Les différentes approches seront ensuite comparées sur un jeu de données représentatif de ceux utilisé en analyse d’œuvres cinématographiques afin d’identifier leurs limites et les principaux points bloquants.</w:t>
            </w:r>
          </w:p>
        </w:tc>
      </w:tr>
      <w:tr>
        <w:trPr>
          <w:trHeight w:val="230" w:hRule="atLeast"/>
        </w:trPr>
        <w:tc>
          <w:tcPr>
            <w:tcW w:w="2861" w:type="dxa"/>
            <w:vMerge w:val="continue"/>
            <w:tcBorders>
              <w:start w:val="single" w:sz="4" w:space="0" w:color="000000"/>
              <w:bottom w:val="single" w:sz="4" w:space="0" w:color="000000"/>
            </w:tcBorders>
            <w:shd w:color="auto" w:fill="auto" w:val="clear"/>
            <w:vAlign w:val="center"/>
          </w:tcPr>
          <w:p>
            <w:pPr>
              <w:pStyle w:val="Standard1"/>
              <w:snapToGrid w:val="false"/>
              <w:rPr>
                <w:b/>
                <w:bCs/>
                <w:sz w:val="20"/>
                <w:szCs w:val="40"/>
              </w:rPr>
            </w:pPr>
            <w:r>
              <w:rPr>
                <w:b/>
                <w:bCs/>
                <w:sz w:val="20"/>
                <w:szCs w:val="40"/>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2</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BodyText"/>
              <w:snapToGrid w:val="false"/>
              <w:spacing w:before="0" w:after="140"/>
              <w:rPr>
                <w:b/>
                <w:bCs/>
                <w:sz w:val="20"/>
                <w:szCs w:val="40"/>
              </w:rPr>
            </w:pPr>
            <w:r>
              <w:rPr>
                <w:rFonts w:eastAsia="Times New Roman" w:cs="Arial" w:ascii="Arial" w:hAnsi="Arial"/>
                <w:b/>
                <w:bCs/>
                <w:sz w:val="20"/>
                <w:szCs w:val="40"/>
              </w:rPr>
              <w:t>Expérimentation pour la méthode d’extraction tag-image (juin – septembre 2026)</w:t>
              <w:br/>
            </w:r>
            <w:r>
              <w:rPr>
                <w:rFonts w:eastAsia="Times New Roman" w:cs="Arial" w:ascii="Arial" w:hAnsi="Arial"/>
                <w:sz w:val="20"/>
                <w:szCs w:val="40"/>
              </w:rPr>
              <w:t>Amélioration de la méthode avec différents modules, ainsi que mise en place d’expérimentations beaucoup plus conséquentes et complètes que lors de la première phase.</w:t>
            </w:r>
          </w:p>
        </w:tc>
      </w:tr>
      <w:tr>
        <w:trPr>
          <w:trHeight w:val="230" w:hRule="atLeast"/>
        </w:trPr>
        <w:tc>
          <w:tcPr>
            <w:tcW w:w="2861" w:type="dxa"/>
            <w:vMerge w:val="continue"/>
            <w:tcBorders>
              <w:start w:val="single" w:sz="4" w:space="0" w:color="000000"/>
              <w:bottom w:val="single" w:sz="4" w:space="0" w:color="000000"/>
            </w:tcBorders>
            <w:shd w:color="auto" w:fill="auto" w:val="clear"/>
            <w:vAlign w:val="center"/>
          </w:tcPr>
          <w:p>
            <w:pPr>
              <w:pStyle w:val="Standard1"/>
              <w:snapToGrid w:val="false"/>
              <w:rPr>
                <w:b/>
                <w:bCs/>
                <w:sz w:val="20"/>
                <w:szCs w:val="40"/>
              </w:rPr>
            </w:pPr>
            <w:r>
              <w:rPr>
                <w:b/>
                <w:bCs/>
                <w:sz w:val="20"/>
                <w:szCs w:val="40"/>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3</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sz w:val="20"/>
                <w:szCs w:val="20"/>
              </w:rPr>
            </w:pPr>
            <w:r>
              <w:rPr>
                <w:b/>
                <w:bCs/>
                <w:sz w:val="20"/>
                <w:szCs w:val="20"/>
              </w:rPr>
              <w:t>Rédaction d’un article de journal – SPIC (juin – septembre 2026)</w:t>
            </w:r>
          </w:p>
          <w:p>
            <w:pPr>
              <w:pStyle w:val="Standard1"/>
              <w:snapToGrid w:val="false"/>
              <w:jc w:val="start"/>
              <w:rPr>
                <w:sz w:val="20"/>
                <w:szCs w:val="20"/>
              </w:rPr>
            </w:pPr>
            <w:r>
              <w:rPr>
                <w:sz w:val="20"/>
                <w:szCs w:val="20"/>
              </w:rPr>
              <w:t xml:space="preserve">Valorisation des travaux sur la méthode d’extraction automatisée d’une tag-image au sein d’un film (tâche 2), à travers la rédaction d’un article journal pour la revue </w:t>
            </w:r>
            <w:r>
              <w:rPr>
                <w:i/>
                <w:iCs/>
                <w:sz w:val="20"/>
                <w:szCs w:val="20"/>
              </w:rPr>
              <w:t>Signal Processing : Image Communication</w:t>
            </w:r>
            <w:r>
              <w:rPr>
                <w:sz w:val="20"/>
                <w:szCs w:val="20"/>
              </w:rPr>
              <w:t>.</w:t>
            </w:r>
          </w:p>
        </w:tc>
      </w:tr>
      <w:tr>
        <w:trPr>
          <w:trHeight w:val="230" w:hRule="atLeast"/>
        </w:trPr>
        <w:tc>
          <w:tcPr>
            <w:tcW w:w="2861" w:type="dxa"/>
            <w:vMerge w:val="continue"/>
            <w:tcBorders>
              <w:start w:val="single" w:sz="4" w:space="0" w:color="000000"/>
              <w:bottom w:val="single" w:sz="4" w:space="0" w:color="000000"/>
            </w:tcBorders>
            <w:shd w:color="auto" w:fill="auto" w:val="clear"/>
            <w:vAlign w:val="center"/>
          </w:tcPr>
          <w:p>
            <w:pPr>
              <w:pStyle w:val="Standard1"/>
              <w:snapToGrid w:val="false"/>
              <w:rPr>
                <w:b/>
                <w:bCs/>
                <w:sz w:val="20"/>
                <w:szCs w:val="40"/>
              </w:rPr>
            </w:pPr>
            <w:r>
              <w:rPr>
                <w:b/>
                <w:bCs/>
                <w:sz w:val="20"/>
                <w:szCs w:val="40"/>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4</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rStyle w:val="Strong"/>
                <w:sz w:val="20"/>
                <w:szCs w:val="40"/>
              </w:rPr>
              <w:t>Création d’un jeu de données d’entraînement pour une méthode automatisée de segmentation en plans (septembre – octobre 2026)</w:t>
            </w:r>
            <w:r>
              <w:rPr>
                <w:sz w:val="20"/>
                <w:szCs w:val="40"/>
              </w:rPr>
              <w:br/>
              <w:t>Cette démarche est entreprise pour créer un jeux de données cinématographiques représentatif de la variété des œuvres permettant d’entraîner une méthode de détection de transitions et en particulier de transitions progressives. Les transitions progressives étant rares nous allons en synthétiser un certain nombre dans chacun des films. En effet de tels jeux de données sont rare et on ne trouve aucune méthode dédiée à la détection de ce type de transition dans la littérature.</w:t>
            </w:r>
          </w:p>
        </w:tc>
      </w:tr>
      <w:tr>
        <w:trPr>
          <w:trHeight w:val="230" w:hRule="atLeast"/>
        </w:trPr>
        <w:tc>
          <w:tcPr>
            <w:tcW w:w="2861" w:type="dxa"/>
            <w:vMerge w:val="continue"/>
            <w:tcBorders>
              <w:top w:val="single" w:sz="4" w:space="0" w:color="000000"/>
              <w:start w:val="single" w:sz="4" w:space="0" w:color="000000"/>
              <w:bottom w:val="single" w:sz="4" w:space="0" w:color="000000"/>
            </w:tcBorders>
            <w:shd w:color="auto" w:fill="auto" w:val="cle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5</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sz w:val="20"/>
                <w:szCs w:val="40"/>
              </w:rPr>
            </w:pPr>
            <w:r>
              <w:rPr>
                <w:rStyle w:val="Strong"/>
                <w:sz w:val="20"/>
                <w:szCs w:val="40"/>
              </w:rPr>
              <w:t>Mise au point d’une méthode d’IA pour la segmentation en plans (octobre – décembre 2026)</w:t>
            </w:r>
            <w:r>
              <w:rPr>
                <w:sz w:val="20"/>
                <w:szCs w:val="40"/>
              </w:rPr>
              <w:br/>
              <w:t>L’idée est de continuer à utiliser TransNetV2 et de particulariser son entraînement sur les données générées dans la tâche 4. Suite à l’évaluation de cette entraînement nous déciderons si on conserve ou change d’architecture.</w:t>
            </w:r>
          </w:p>
        </w:tc>
      </w:tr>
      <w:tr>
        <w:trPr>
          <w:trHeight w:val="230" w:hRule="atLeast"/>
        </w:trPr>
        <w:tc>
          <w:tcPr>
            <w:tcW w:w="2861" w:type="dxa"/>
            <w:vMerge w:val="continue"/>
            <w:tcBorders>
              <w:start w:val="single" w:sz="4" w:space="0" w:color="000000"/>
              <w:bottom w:val="single" w:sz="4" w:space="0" w:color="000000"/>
            </w:tcBorders>
            <w:shd w:color="auto" w:fill="auto" w:val="cle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6</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rStyle w:val="Strong"/>
                <w:sz w:val="20"/>
                <w:szCs w:val="40"/>
              </w:rPr>
              <w:t>Rédaction d’un article scientifique (janvier 2027)</w:t>
            </w:r>
            <w:r>
              <w:rPr>
                <w:sz w:val="20"/>
                <w:szCs w:val="40"/>
              </w:rPr>
              <w:br/>
              <w:t>Valorisation des travaux réalisés sur la méthode de segmentation automatisée en plans pour les films (tâche 5) à travers la rédaction d’un article scientifique pour ICIP (IEEE International Conference on Image Processing) 2027.</w:t>
            </w:r>
            <w:r>
              <w:rPr>
                <w:b/>
                <w:bCs/>
                <w:sz w:val="20"/>
                <w:szCs w:val="40"/>
              </w:rPr>
              <w:t xml:space="preserve"> </w:t>
            </w:r>
          </w:p>
        </w:tc>
      </w:tr>
      <w:tr>
        <w:trPr>
          <w:trHeight w:val="230" w:hRule="atLeast"/>
        </w:trPr>
        <w:tc>
          <w:tcPr>
            <w:tcW w:w="2861" w:type="dxa"/>
            <w:vMerge w:val="continue"/>
            <w:tcBorders>
              <w:top w:val="single" w:sz="4" w:space="0" w:color="000000"/>
              <w:start w:val="single" w:sz="4" w:space="0" w:color="000000"/>
              <w:bottom w:val="single" w:sz="4" w:space="0" w:color="000000"/>
            </w:tcBorders>
            <w:shd w:color="auto" w:fill="auto" w:val="clear"/>
            <w:vAlign w:val="center"/>
          </w:tcPr>
          <w:p>
            <w:pPr>
              <w:pStyle w:val="Normal"/>
              <w:rPr/>
            </w:pPr>
            <w:r>
              <w:rPr/>
            </w:r>
          </w:p>
        </w:tc>
        <w:tc>
          <w:tcPr>
            <w:tcW w:w="1076" w:type="dxa"/>
            <w:tcBorders>
              <w:start w:val="single" w:sz="4" w:space="0" w:color="000000"/>
              <w:bottom w:val="single" w:sz="4" w:space="0" w:color="000000"/>
              <w:end w:val="single" w:sz="4" w:space="0" w:color="000000"/>
            </w:tcBorders>
            <w:shd w:color="auto" w:fill="auto" w:val="clear"/>
            <w:vAlign w:val="center"/>
          </w:tcPr>
          <w:p>
            <w:pPr>
              <w:pStyle w:val="Standard1"/>
              <w:snapToGrid w:val="false"/>
              <w:jc w:val="center"/>
              <w:rPr>
                <w:sz w:val="18"/>
                <w:szCs w:val="36"/>
              </w:rPr>
            </w:pPr>
            <w:r>
              <w:rPr>
                <w:sz w:val="18"/>
                <w:szCs w:val="36"/>
              </w:rPr>
              <w:t>Tâche 7</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rStyle w:val="Strong"/>
                <w:sz w:val="20"/>
                <w:szCs w:val="40"/>
              </w:rPr>
              <w:t>Mise au point d’un pipeline de classification des mouvements de caméra (février – avril 2027)</w:t>
            </w:r>
            <w:r>
              <w:rPr>
                <w:sz w:val="20"/>
                <w:szCs w:val="40"/>
              </w:rPr>
              <w:br/>
              <w:t>Nous proposons de définir une classification des mouvements de caméra cohérente avec l’analyse filmique. Dans un second temps nous proposerons une méthode de détection et de classification des mouvements de caméra en accord avec notre proposition de classification.</w:t>
            </w:r>
          </w:p>
        </w:tc>
      </w:tr>
      <w:tr>
        <w:trPr>
          <w:trHeight w:val="230" w:hRule="atLeast"/>
        </w:trPr>
        <w:tc>
          <w:tcPr>
            <w:tcW w:w="2861" w:type="dxa"/>
            <w:vMerge w:val="continue"/>
            <w:tcBorders>
              <w:top w:val="single" w:sz="4" w:space="0" w:color="000000"/>
              <w:start w:val="single" w:sz="4" w:space="0" w:color="000000"/>
              <w:bottom w:val="single" w:sz="4" w:space="0" w:color="000000"/>
            </w:tcBorders>
            <w:shd w:color="auto" w:fill="auto" w:val="clear"/>
            <w:vAlign w:val="center"/>
          </w:tcPr>
          <w:p>
            <w:pPr>
              <w:pStyle w:val="Standard1"/>
              <w:snapToGrid w:val="false"/>
              <w:jc w:val="start"/>
              <w:rPr>
                <w:b/>
                <w:bCs/>
                <w:sz w:val="20"/>
                <w:szCs w:val="40"/>
              </w:rPr>
            </w:pPr>
            <w:r>
              <w:rPr>
                <w:b/>
                <w:bCs/>
                <w:sz w:val="20"/>
                <w:szCs w:val="40"/>
              </w:rPr>
            </w:r>
          </w:p>
        </w:tc>
        <w:tc>
          <w:tcPr>
            <w:tcW w:w="1076" w:type="dxa"/>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center"/>
              <w:rPr>
                <w:sz w:val="18"/>
                <w:szCs w:val="36"/>
              </w:rPr>
            </w:pPr>
            <w:r>
              <w:rPr>
                <w:sz w:val="18"/>
                <w:szCs w:val="36"/>
              </w:rPr>
              <w:t>Tâche 8</w:t>
            </w:r>
          </w:p>
        </w:tc>
        <w:tc>
          <w:tcPr>
            <w:tcW w:w="5097" w:type="dxa"/>
            <w:gridSpan w:val="2"/>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rStyle w:val="Strong"/>
                <w:sz w:val="20"/>
                <w:szCs w:val="40"/>
              </w:rPr>
              <w:t>Rédaction d’un article scientifique (mai 2027)</w:t>
            </w:r>
            <w:r>
              <w:rPr>
                <w:sz w:val="20"/>
                <w:szCs w:val="40"/>
              </w:rPr>
              <w:br/>
              <w:t>Valorisation des travaux réalisés sur la méthode de classification des mouvements de caméra au sein d’un film (tâche 7) à travers la rédaction d’un article scientifique pour MMSP (IEEE International Workshop on Multimedia Signa Processing) 2027</w:t>
            </w:r>
          </w:p>
        </w:tc>
      </w:tr>
      <w:tr>
        <w:trPr/>
        <w:tc>
          <w:tcPr>
            <w:tcW w:w="2861" w:type="dxa"/>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start"/>
              <w:rPr/>
            </w:pPr>
            <w:r>
              <w:rPr>
                <w:b/>
                <w:bCs/>
                <w:sz w:val="20"/>
                <w:szCs w:val="40"/>
              </w:rPr>
              <w:t>Publications planifiées</w:t>
            </w:r>
            <w:r>
              <w:rPr>
                <w:bCs/>
                <w:sz w:val="20"/>
                <w:szCs w:val="40"/>
              </w:rPr>
              <w:t xml:space="preserve"> </w:t>
            </w:r>
            <w:r>
              <w:rPr>
                <w:bCs/>
                <w:sz w:val="14"/>
                <w:szCs w:val="40"/>
              </w:rPr>
              <w:t>(précisez le nombre et le type)</w:t>
            </w:r>
          </w:p>
        </w:tc>
        <w:tc>
          <w:tcPr>
            <w:tcW w:w="1076" w:type="dxa"/>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b/>
                <w:bCs/>
                <w:sz w:val="20"/>
                <w:szCs w:val="40"/>
              </w:rPr>
            </w:r>
          </w:p>
        </w:tc>
        <w:tc>
          <w:tcPr>
            <w:tcW w:w="5057" w:type="dxa"/>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b/>
                <w:bCs/>
                <w:sz w:val="20"/>
                <w:szCs w:val="40"/>
              </w:rPr>
              <w:t>- Coresa (COmpression et REprésentation des Signaux Audiovisuels) 2026 : présenté en mai 2026</w:t>
            </w:r>
          </w:p>
          <w:p>
            <w:pPr>
              <w:pStyle w:val="Standard1"/>
              <w:snapToGrid w:val="false"/>
              <w:jc w:val="start"/>
              <w:rPr>
                <w:b/>
                <w:bCs/>
                <w:sz w:val="20"/>
                <w:szCs w:val="40"/>
              </w:rPr>
            </w:pPr>
            <w:r>
              <w:rPr>
                <w:b/>
                <w:bCs/>
                <w:sz w:val="20"/>
                <w:szCs w:val="40"/>
              </w:rPr>
              <w:t>- ICIP (IEEE International Conference on Image Processing) 2026 : accepté</w:t>
            </w:r>
          </w:p>
          <w:p>
            <w:pPr>
              <w:pStyle w:val="Standard1"/>
              <w:snapToGrid w:val="false"/>
              <w:jc w:val="start"/>
              <w:rPr>
                <w:sz w:val="20"/>
                <w:szCs w:val="40"/>
              </w:rPr>
            </w:pPr>
            <w:r>
              <w:rPr>
                <w:sz w:val="20"/>
                <w:szCs w:val="40"/>
              </w:rPr>
              <w:t>- Papier journal dans Signal Processing : Image Communication : en rédaction</w:t>
            </w:r>
          </w:p>
          <w:p>
            <w:pPr>
              <w:pStyle w:val="Standard1"/>
              <w:snapToGrid w:val="false"/>
              <w:jc w:val="start"/>
              <w:rPr>
                <w:b/>
                <w:bCs/>
                <w:sz w:val="20"/>
                <w:szCs w:val="40"/>
              </w:rPr>
            </w:pPr>
            <w:r>
              <w:rPr>
                <w:b/>
                <w:bCs/>
                <w:sz w:val="20"/>
                <w:szCs w:val="40"/>
              </w:rPr>
            </w:r>
          </w:p>
        </w:tc>
        <w:tc>
          <w:tcPr>
            <w:tcW w:w="40" w:type="dxa"/>
            <w:tcBorders/>
            <w:shd w:color="auto" w:fill="auto" w:val="clear"/>
            <w:tcMar>
              <w:top w:w="0" w:type="dxa"/>
              <w:start w:w="10" w:type="dxa"/>
              <w:bottom w:w="0" w:type="dxa"/>
              <w:end w:w="10" w:type="dxa"/>
            </w:tcMar>
          </w:tcPr>
          <w:p>
            <w:pPr>
              <w:pStyle w:val="Standard1"/>
              <w:snapToGrid w:val="false"/>
              <w:jc w:val="start"/>
              <w:rPr>
                <w:b/>
                <w:bCs/>
                <w:sz w:val="20"/>
                <w:szCs w:val="40"/>
              </w:rPr>
            </w:pPr>
            <w:r>
              <w:rPr>
                <w:b/>
                <w:bCs/>
                <w:sz w:val="20"/>
                <w:szCs w:val="40"/>
              </w:rPr>
            </w:r>
          </w:p>
        </w:tc>
      </w:tr>
      <w:tr>
        <w:trPr/>
        <w:tc>
          <w:tcPr>
            <w:tcW w:w="2861" w:type="dxa"/>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start"/>
              <w:rPr/>
            </w:pPr>
            <w:r>
              <w:rPr>
                <w:b/>
                <w:bCs/>
                <w:sz w:val="20"/>
                <w:szCs w:val="40"/>
              </w:rPr>
              <w:t>Formation Complémentaire planifiée</w:t>
            </w:r>
            <w:r>
              <w:rPr>
                <w:bCs/>
                <w:sz w:val="20"/>
                <w:szCs w:val="40"/>
              </w:rPr>
              <w:t xml:space="preserve"> </w:t>
            </w:r>
            <w:r>
              <w:rPr>
                <w:bCs/>
                <w:sz w:val="14"/>
                <w:szCs w:val="40"/>
              </w:rPr>
              <w:t>(indiquer nombre d’heures)</w:t>
            </w:r>
          </w:p>
        </w:tc>
        <w:tc>
          <w:tcPr>
            <w:tcW w:w="1076" w:type="dxa"/>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b/>
                <w:bCs/>
                <w:sz w:val="20"/>
                <w:szCs w:val="40"/>
              </w:rPr>
              <w:t xml:space="preserve">    </w:t>
            </w:r>
            <w:r>
              <w:rPr>
                <w:b/>
                <w:bCs/>
                <w:sz w:val="20"/>
                <w:szCs w:val="40"/>
              </w:rPr>
              <w:t>87h</w:t>
            </w:r>
          </w:p>
        </w:tc>
        <w:tc>
          <w:tcPr>
            <w:tcW w:w="5057" w:type="dxa"/>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b/>
                <w:bCs/>
                <w:sz w:val="20"/>
                <w:szCs w:val="40"/>
              </w:rPr>
              <w:t>Effectué (63h):</w:t>
            </w:r>
          </w:p>
          <w:p>
            <w:pPr>
              <w:pStyle w:val="Standard1"/>
              <w:snapToGrid w:val="false"/>
              <w:jc w:val="start"/>
              <w:rPr>
                <w:b/>
                <w:bCs/>
                <w:sz w:val="20"/>
                <w:szCs w:val="40"/>
              </w:rPr>
            </w:pPr>
            <w:r>
              <w:rPr>
                <w:b/>
                <w:bCs/>
                <w:sz w:val="20"/>
                <w:szCs w:val="40"/>
              </w:rPr>
              <w:t>- (3h) Matinée de rentrée des doctorants 1ere année (obligatoire)</w:t>
            </w:r>
          </w:p>
          <w:p>
            <w:pPr>
              <w:pStyle w:val="Standard1"/>
              <w:snapToGrid w:val="false"/>
              <w:jc w:val="start"/>
              <w:rPr>
                <w:b/>
                <w:bCs/>
                <w:sz w:val="20"/>
                <w:szCs w:val="40"/>
              </w:rPr>
            </w:pPr>
            <w:r>
              <w:rPr>
                <w:b/>
                <w:bCs/>
                <w:sz w:val="20"/>
                <w:szCs w:val="40"/>
              </w:rPr>
              <w:t xml:space="preserve">- (2h) Réunion d’information des nouveaux doctorants </w:t>
            </w:r>
          </w:p>
          <w:p>
            <w:pPr>
              <w:pStyle w:val="Standard1"/>
              <w:snapToGrid w:val="false"/>
              <w:jc w:val="start"/>
              <w:rPr>
                <w:b/>
                <w:bCs/>
                <w:sz w:val="20"/>
                <w:szCs w:val="40"/>
              </w:rPr>
            </w:pPr>
            <w:r>
              <w:rPr>
                <w:b/>
                <w:bCs/>
                <w:sz w:val="20"/>
                <w:szCs w:val="40"/>
              </w:rPr>
              <w:t>- (10h) 8.6 Éthique de la recherche (obligatoire)</w:t>
            </w:r>
          </w:p>
          <w:p>
            <w:pPr>
              <w:pStyle w:val="Standard1"/>
              <w:snapToGrid w:val="false"/>
              <w:jc w:val="start"/>
              <w:rPr>
                <w:b/>
                <w:bCs/>
                <w:sz w:val="20"/>
                <w:szCs w:val="40"/>
              </w:rPr>
            </w:pPr>
            <w:r>
              <w:rPr>
                <w:b/>
                <w:bCs/>
                <w:sz w:val="20"/>
                <w:szCs w:val="40"/>
              </w:rPr>
              <w:t>- (10h) 8.7 Intégrité scientifique (obligatoire)</w:t>
            </w:r>
          </w:p>
          <w:p>
            <w:pPr>
              <w:pStyle w:val="Standard1"/>
              <w:snapToGrid w:val="false"/>
              <w:jc w:val="start"/>
              <w:rPr>
                <w:b/>
                <w:bCs/>
                <w:sz w:val="20"/>
                <w:szCs w:val="40"/>
              </w:rPr>
            </w:pPr>
            <w:r>
              <w:rPr>
                <w:b/>
                <w:bCs/>
                <w:sz w:val="20"/>
                <w:szCs w:val="40"/>
              </w:rPr>
              <w:t>- (20h) 4.6 Rédiger et publier un article scientifique</w:t>
            </w:r>
          </w:p>
          <w:p>
            <w:pPr>
              <w:pStyle w:val="Standard1"/>
              <w:snapToGrid w:val="false"/>
              <w:jc w:val="start"/>
              <w:rPr>
                <w:b/>
                <w:bCs/>
              </w:rPr>
            </w:pPr>
            <w:r>
              <w:rPr>
                <w:b/>
                <w:bCs/>
                <w:sz w:val="20"/>
                <w:szCs w:val="40"/>
              </w:rPr>
              <w:t>- (18h) Module Image (2026)</w:t>
            </w:r>
          </w:p>
          <w:p>
            <w:pPr>
              <w:pStyle w:val="Standard1"/>
              <w:snapToGrid w:val="false"/>
              <w:jc w:val="start"/>
              <w:rPr>
                <w:b/>
                <w:bCs/>
                <w:sz w:val="20"/>
                <w:szCs w:val="40"/>
              </w:rPr>
            </w:pPr>
            <w:r>
              <w:rPr>
                <w:b/>
                <w:bCs/>
                <w:sz w:val="20"/>
                <w:szCs w:val="40"/>
              </w:rPr>
            </w:r>
          </w:p>
          <w:p>
            <w:pPr>
              <w:pStyle w:val="Standard1"/>
              <w:snapToGrid w:val="false"/>
              <w:jc w:val="start"/>
              <w:rPr>
                <w:sz w:val="20"/>
                <w:szCs w:val="40"/>
              </w:rPr>
            </w:pPr>
            <w:r>
              <w:rPr>
                <w:sz w:val="20"/>
                <w:szCs w:val="40"/>
              </w:rPr>
              <w:t>Prévu (24h) :</w:t>
            </w:r>
          </w:p>
          <w:p>
            <w:pPr>
              <w:pStyle w:val="Standard1"/>
              <w:snapToGrid w:val="false"/>
              <w:jc w:val="start"/>
              <w:rPr>
                <w:sz w:val="20"/>
                <w:szCs w:val="40"/>
              </w:rPr>
            </w:pPr>
            <w:r>
              <w:rPr>
                <w:sz w:val="20"/>
                <w:szCs w:val="40"/>
              </w:rPr>
              <w:t>- (18h) Module Image (2027)</w:t>
            </w:r>
          </w:p>
          <w:p>
            <w:pPr>
              <w:pStyle w:val="Standard1"/>
              <w:snapToGrid w:val="false"/>
              <w:jc w:val="start"/>
              <w:rPr>
                <w:sz w:val="20"/>
                <w:szCs w:val="40"/>
              </w:rPr>
            </w:pPr>
            <w:r>
              <w:rPr>
                <w:sz w:val="20"/>
                <w:szCs w:val="40"/>
              </w:rPr>
              <w:t>- (6h) 8.14 Données de la recherche et PGD</w:t>
            </w:r>
          </w:p>
          <w:p>
            <w:pPr>
              <w:pStyle w:val="Standard1"/>
              <w:snapToGrid w:val="false"/>
              <w:jc w:val="start"/>
              <w:rPr>
                <w:b/>
                <w:bCs/>
                <w:sz w:val="20"/>
                <w:szCs w:val="40"/>
              </w:rPr>
            </w:pPr>
            <w:r>
              <w:rPr>
                <w:b/>
                <w:bCs/>
                <w:sz w:val="20"/>
                <w:szCs w:val="40"/>
              </w:rPr>
            </w:r>
          </w:p>
        </w:tc>
        <w:tc>
          <w:tcPr>
            <w:tcW w:w="40" w:type="dxa"/>
            <w:tcBorders/>
            <w:shd w:color="auto" w:fill="auto" w:val="clear"/>
            <w:tcMar>
              <w:top w:w="0" w:type="dxa"/>
              <w:start w:w="10" w:type="dxa"/>
              <w:bottom w:w="0" w:type="dxa"/>
              <w:end w:w="10" w:type="dxa"/>
            </w:tcMar>
          </w:tcPr>
          <w:p>
            <w:pPr>
              <w:pStyle w:val="Standard1"/>
              <w:snapToGrid w:val="false"/>
              <w:jc w:val="start"/>
              <w:rPr>
                <w:b/>
                <w:bCs/>
                <w:sz w:val="20"/>
                <w:szCs w:val="40"/>
              </w:rPr>
            </w:pPr>
            <w:r>
              <w:rPr>
                <w:b/>
                <w:bCs/>
                <w:sz w:val="20"/>
                <w:szCs w:val="40"/>
              </w:rPr>
            </w:r>
          </w:p>
        </w:tc>
      </w:tr>
      <w:tr>
        <w:trPr/>
        <w:tc>
          <w:tcPr>
            <w:tcW w:w="3937" w:type="dxa"/>
            <w:gridSpan w:val="2"/>
            <w:tcBorders>
              <w:start w:val="single" w:sz="4" w:space="0" w:color="000000"/>
              <w:bottom w:val="single" w:sz="4" w:space="0" w:color="000000"/>
            </w:tcBorders>
            <w:shd w:color="auto" w:fill="auto" w:val="clear"/>
            <w:tcMar>
              <w:top w:w="0" w:type="dxa"/>
              <w:bottom w:w="0" w:type="dxa"/>
            </w:tcMar>
            <w:vAlign w:val="center"/>
          </w:tcPr>
          <w:p>
            <w:pPr>
              <w:pStyle w:val="Standard1"/>
              <w:snapToGrid w:val="false"/>
              <w:jc w:val="start"/>
              <w:rPr/>
            </w:pPr>
            <w:r>
              <w:rPr>
                <w:b/>
                <w:bCs/>
                <w:sz w:val="20"/>
                <w:szCs w:val="40"/>
              </w:rPr>
              <w:t>Date de soutenance prévisionnelle :</w:t>
              <w:br/>
            </w:r>
            <w:r>
              <w:rPr>
                <w:bCs/>
                <w:sz w:val="16"/>
                <w:szCs w:val="40"/>
              </w:rPr>
              <w:t>(au minimum le mois et l’année)</w:t>
            </w:r>
          </w:p>
        </w:tc>
        <w:tc>
          <w:tcPr>
            <w:tcW w:w="5057" w:type="dxa"/>
            <w:tcBorders>
              <w:start w:val="single" w:sz="4" w:space="0" w:color="000000"/>
              <w:bottom w:val="single" w:sz="4" w:space="0" w:color="000000"/>
              <w:end w:val="single" w:sz="4" w:space="0" w:color="000000"/>
            </w:tcBorders>
            <w:shd w:color="auto" w:fill="auto" w:val="clear"/>
            <w:tcMar>
              <w:top w:w="0" w:type="dxa"/>
              <w:bottom w:w="0" w:type="dxa"/>
            </w:tcMar>
            <w:vAlign w:val="center"/>
          </w:tcPr>
          <w:p>
            <w:pPr>
              <w:pStyle w:val="Standard1"/>
              <w:snapToGrid w:val="false"/>
              <w:jc w:val="start"/>
              <w:rPr>
                <w:b/>
                <w:bCs/>
                <w:sz w:val="20"/>
                <w:szCs w:val="40"/>
              </w:rPr>
            </w:pPr>
            <w:r>
              <w:rPr>
                <w:b/>
                <w:bCs/>
                <w:sz w:val="20"/>
                <w:szCs w:val="40"/>
              </w:rPr>
              <w:t>Octobre 2028</w:t>
            </w:r>
          </w:p>
        </w:tc>
        <w:tc>
          <w:tcPr>
            <w:tcW w:w="40" w:type="dxa"/>
            <w:tcBorders/>
            <w:shd w:color="auto" w:fill="auto" w:val="clear"/>
            <w:tcMar>
              <w:top w:w="0" w:type="dxa"/>
              <w:start w:w="10" w:type="dxa"/>
              <w:bottom w:w="0" w:type="dxa"/>
              <w:end w:w="10" w:type="dxa"/>
            </w:tcMar>
          </w:tcPr>
          <w:p>
            <w:pPr>
              <w:pStyle w:val="Standard1"/>
              <w:snapToGrid w:val="false"/>
              <w:jc w:val="start"/>
              <w:rPr>
                <w:b/>
                <w:bCs/>
                <w:sz w:val="20"/>
                <w:szCs w:val="40"/>
              </w:rPr>
            </w:pPr>
            <w:r>
              <w:rPr>
                <w:b/>
                <w:bCs/>
                <w:sz w:val="20"/>
                <w:szCs w:val="40"/>
              </w:rPr>
            </w:r>
          </w:p>
        </w:tc>
      </w:tr>
    </w:tbl>
    <w:p>
      <w:pPr>
        <w:pStyle w:val="Standard1"/>
        <w:rPr>
          <w:b/>
          <w:bCs/>
        </w:rPr>
      </w:pPr>
      <w:r>
        <w:rPr>
          <w:b/>
          <w:bCs/>
        </w:rPr>
      </w:r>
    </w:p>
    <w:p>
      <w:pPr>
        <w:pStyle w:val="Standard1"/>
        <w:rPr>
          <w:b/>
          <w:bCs/>
        </w:rPr>
      </w:pPr>
      <w:r>
        <w:rPr>
          <w:b/>
          <w:bCs/>
        </w:rPr>
        <w:t>Projet professionnel du doctorant à l'issue de la thèse</w:t>
      </w:r>
    </w:p>
    <w:tbl>
      <w:tblPr>
        <w:tblW w:w="9069" w:type="dxa"/>
        <w:jc w:val="start"/>
        <w:tblInd w:w="35" w:type="dxa"/>
        <w:tblLayout w:type="fixed"/>
        <w:tblCellMar>
          <w:top w:w="55" w:type="dxa"/>
          <w:start w:w="55" w:type="dxa"/>
          <w:bottom w:w="55" w:type="dxa"/>
          <w:end w:w="55" w:type="dxa"/>
        </w:tblCellMar>
        <w:tblLook w:noHBand="0" w:noVBand="1" w:firstColumn="1" w:lastRow="0" w:lastColumn="0" w:firstRow="1" w:val="04a0"/>
      </w:tblPr>
      <w:tblGrid>
        <w:gridCol w:w="9069"/>
      </w:tblGrid>
      <w:tr>
        <w:trPr/>
        <w:tc>
          <w:tcPr>
            <w:tcW w:w="9069" w:type="dxa"/>
            <w:tcBorders>
              <w:top w:val="single" w:sz="2" w:space="0" w:color="000000"/>
              <w:start w:val="single" w:sz="2" w:space="0" w:color="000000"/>
              <w:bottom w:val="single" w:sz="2" w:space="0" w:color="000000"/>
              <w:end w:val="single" w:sz="2" w:space="0" w:color="000000"/>
            </w:tcBorders>
            <w:shd w:color="auto" w:fill="auto" w:val="clear"/>
          </w:tcPr>
          <w:p>
            <w:pPr>
              <w:pStyle w:val="Contenudetableau"/>
              <w:rPr/>
            </w:pPr>
            <w:r>
              <w:rPr/>
              <w:t>Aucun projet professionnel n'a encore été envisagé pour le moment.</w:t>
            </w:r>
          </w:p>
          <w:p>
            <w:pPr>
              <w:pStyle w:val="Contenudetableau"/>
              <w:rPr/>
            </w:pPr>
            <w:r>
              <w:rPr/>
            </w:r>
          </w:p>
        </w:tc>
      </w:tr>
    </w:tbl>
    <w:p>
      <w:pPr>
        <w:pStyle w:val="Standard1"/>
        <w:rPr>
          <w:b/>
          <w:bCs/>
        </w:rPr>
      </w:pPr>
      <w:r>
        <w:rPr>
          <w:b/>
          <w:bCs/>
        </w:rPr>
      </w:r>
    </w:p>
    <w:p>
      <w:pPr>
        <w:pStyle w:val="Standard1"/>
        <w:rPr>
          <w:b/>
        </w:rPr>
      </w:pPr>
      <w:r>
        <w:rPr>
          <w:b/>
        </w:rPr>
        <w:t>Commentaires du doctorant</w:t>
      </w:r>
    </w:p>
    <w:p>
      <w:pPr>
        <w:pStyle w:val="Standard1"/>
        <w:rPr/>
      </w:pPr>
      <w:r>
        <w:rPr>
          <w:bCs/>
          <w:i/>
          <w:iCs/>
          <w:sz w:val="14"/>
          <w:szCs w:val="40"/>
        </w:rPr>
        <w:t>Le doctorant mentionne ici toute information et toute remarque qu’il souhaite porter à la connaissance de l’École Doctorale et des membres du Comité de Suivi Individuel.</w:t>
      </w:r>
    </w:p>
    <w:tbl>
      <w:tblPr>
        <w:tblW w:w="90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60"/>
      </w:tblGrid>
      <w:tr>
        <w:trPr>
          <w:trHeight w:val="1465" w:hRule="atLeast"/>
        </w:trPr>
        <w:tc>
          <w:tcPr>
            <w:tcW w:w="9060" w:type="dxa"/>
            <w:tcBorders>
              <w:top w:val="single" w:sz="4" w:space="0" w:color="000000"/>
              <w:start w:val="single" w:sz="4" w:space="0" w:color="000000"/>
              <w:bottom w:val="single" w:sz="4" w:space="0" w:color="000000"/>
              <w:end w:val="single" w:sz="4" w:space="0" w:color="000000"/>
            </w:tcBorders>
            <w:shd w:color="auto" w:fill="auto" w:val="clear"/>
          </w:tcPr>
          <w:p>
            <w:pPr>
              <w:pStyle w:val="BodyText"/>
              <w:spacing w:lineRule="auto" w:line="276" w:before="0" w:after="140"/>
              <w:rPr/>
            </w:pPr>
            <w:r>
              <w:rPr>
                <w:rFonts w:eastAsia="Times New Roman" w:cs="Arial" w:ascii="Arial" w:hAnsi="Arial"/>
              </w:rPr>
              <w:t>Cette première année de thèse a été particulièrement enrichissante et stimulante, car le travail comporte de multiples aspects à traiter et à explorer. De plus, la collaboration avec des chercheurs en analyse filmique permet d’aborder les problématiques sous différents angles et d’approfondir la réflexion. L’ensemble de ces éléments contribue à rendre ce travail particulièrement passionnant et motivant.</w:t>
            </w:r>
          </w:p>
        </w:tc>
      </w:tr>
    </w:tbl>
    <w:p>
      <w:pPr>
        <w:pStyle w:val="Standard1"/>
        <w:rPr/>
      </w:pPr>
      <w:r>
        <w:rPr/>
      </w:r>
    </w:p>
    <w:p>
      <w:pPr>
        <w:pStyle w:val="Standard1"/>
        <w:rPr>
          <w:b/>
          <w:bCs/>
          <w:sz w:val="21"/>
          <w:szCs w:val="21"/>
        </w:rPr>
      </w:pPr>
      <w:r>
        <w:rPr>
          <w:b/>
          <w:bCs/>
          <w:sz w:val="21"/>
          <w:szCs w:val="21"/>
        </w:rPr>
        <w:t>Date d’approbation du rapport d’activité par le doctorant : 16 / 06 / 2026</w:t>
      </w:r>
    </w:p>
    <w:p>
      <w:pPr>
        <w:pStyle w:val="Standard1"/>
        <w:rPr>
          <w:bCs/>
          <w:i/>
          <w:iCs/>
          <w:sz w:val="14"/>
          <w:szCs w:val="40"/>
        </w:rPr>
      </w:pPr>
      <w:r>
        <w:drawing>
          <wp:anchor distT="0" distB="0" distL="0" distR="0" simplePos="0" relativeHeight="5" behindDoc="0" locked="0" layoutInCell="0" allowOverlap="1">
            <wp:simplePos x="0" y="0"/>
            <wp:positionH relativeFrom="column">
              <wp:posOffset>3141345</wp:posOffset>
            </wp:positionH>
            <wp:positionV relativeFrom="paragraph">
              <wp:posOffset>86995</wp:posOffset>
            </wp:positionV>
            <wp:extent cx="852170" cy="61722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rcRect l="0" t="0" r="6447" b="12047"/>
                    <a:stretch>
                      <a:fillRect/>
                    </a:stretch>
                  </pic:blipFill>
                  <pic:spPr bwMode="auto">
                    <a:xfrm>
                      <a:off x="0" y="0"/>
                      <a:ext cx="852170" cy="617220"/>
                    </a:xfrm>
                    <a:prstGeom prst="rect">
                      <a:avLst/>
                    </a:prstGeom>
                    <a:noFill/>
                  </pic:spPr>
                </pic:pic>
              </a:graphicData>
            </a:graphic>
          </wp:anchor>
        </w:drawing>
      </w:r>
      <w:r>
        <w:rPr>
          <w:bCs/>
          <w:i/>
          <w:iCs/>
          <w:sz w:val="14"/>
          <w:szCs w:val="40"/>
        </w:rPr>
        <w:t xml:space="preserve">Le doctorant date et signe son rapport annuel après consultation du DT </w:t>
      </w:r>
    </w:p>
    <w:p>
      <w:pPr>
        <w:pStyle w:val="Standard1"/>
        <w:rPr>
          <w:bCs/>
          <w:i/>
          <w:iCs/>
          <w:sz w:val="14"/>
          <w:szCs w:val="40"/>
        </w:rPr>
      </w:pPr>
      <w:r>
        <w:rPr>
          <w:bCs/>
          <w:i/>
          <w:iCs/>
          <w:sz w:val="14"/>
          <w:szCs w:val="40"/>
        </w:rPr>
        <w:t>puis lui transmet ce rapport pour qu’il le complète.</w:t>
      </w:r>
    </w:p>
    <w:p>
      <w:pPr>
        <w:pStyle w:val="Standard1"/>
        <w:rPr/>
      </w:pPr>
      <w:r>
        <w:rPr/>
      </w:r>
    </w:p>
    <w:p>
      <w:pPr>
        <w:pStyle w:val="Standard1"/>
        <w:rPr/>
      </w:pPr>
      <w:r>
        <w:rPr/>
      </w:r>
    </w:p>
    <w:p>
      <w:pPr>
        <w:pStyle w:val="Standard1"/>
        <w:rPr/>
      </w:pPr>
      <w:r>
        <w:rPr/>
      </w:r>
    </w:p>
    <w:p>
      <w:pPr>
        <w:pStyle w:val="Standard1"/>
        <w:rPr>
          <w:b/>
        </w:rPr>
      </w:pPr>
      <w:r>
        <w:rPr>
          <w:b/>
        </w:rPr>
        <w:t>Commentaires de l’équipe d’encadrement</w:t>
      </w:r>
    </w:p>
    <w:p>
      <w:pPr>
        <w:pStyle w:val="Standard1"/>
        <w:rPr/>
      </w:pPr>
      <w:r>
        <w:rPr>
          <w:bCs/>
          <w:i/>
          <w:iCs/>
          <w:sz w:val="14"/>
          <w:szCs w:val="40"/>
        </w:rPr>
        <w:t>Le DT mentionne ici toute information et toute remarque que l’équipe d’encadrement souhaite porter à la connaissance de l’École Doctorale et des membres du Comité de Suivi Individuel. Il peut aussi commenter ici les éléments mentionnés par le doctorant ou son projet professionnel.</w:t>
      </w:r>
    </w:p>
    <w:tbl>
      <w:tblPr>
        <w:tblW w:w="90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60"/>
      </w:tblGrid>
      <w:tr>
        <w:trPr>
          <w:trHeight w:val="840" w:hRule="atLeast"/>
        </w:trPr>
        <w:tc>
          <w:tcPr>
            <w:tcW w:w="9060" w:type="dxa"/>
            <w:tcBorders>
              <w:top w:val="single" w:sz="4" w:space="0" w:color="000000"/>
              <w:start w:val="single" w:sz="4" w:space="0" w:color="000000"/>
              <w:bottom w:val="single" w:sz="4" w:space="0" w:color="000000"/>
              <w:end w:val="single" w:sz="4" w:space="0" w:color="000000"/>
            </w:tcBorders>
            <w:shd w:color="auto" w:fill="auto" w:val="clear"/>
          </w:tcPr>
          <w:p>
            <w:pPr>
              <w:pStyle w:val="Contenudetableau"/>
              <w:rPr/>
            </w:pPr>
            <w:r>
              <w:rPr/>
            </w:r>
          </w:p>
          <w:p>
            <w:pPr>
              <w:pStyle w:val="Contenudetableau"/>
              <w:rPr/>
            </w:pPr>
            <w:r>
              <w:rPr/>
              <w:t xml:space="preserve">Ce travail de thèse se déroule sans encombre. Benjamin est très autonome. Il fait le lien entre les différentes parties impliquées dans ces recherches. Il fait un excellent travail bibliographique sur une thématique relativement peu abordée et prend cette étude comme tremplin pour faire des propositions intéressantes sur son travail. </w:t>
            </w:r>
          </w:p>
          <w:p>
            <w:pPr>
              <w:pStyle w:val="Contenudetableau"/>
              <w:rPr/>
            </w:pPr>
            <w:r>
              <w:rPr/>
            </w:r>
          </w:p>
          <w:p>
            <w:pPr>
              <w:pStyle w:val="Contenudetableau"/>
              <w:rPr/>
            </w:pPr>
            <w:r>
              <w:rPr/>
            </w:r>
          </w:p>
          <w:p>
            <w:pPr>
              <w:pStyle w:val="Contenudetableau"/>
              <w:rPr/>
            </w:pPr>
            <w:r>
              <w:rPr/>
            </w:r>
          </w:p>
          <w:p>
            <w:pPr>
              <w:pStyle w:val="Contenudetableau"/>
              <w:rPr/>
            </w:pPr>
            <w:r>
              <w:rPr/>
            </w:r>
          </w:p>
        </w:tc>
      </w:tr>
    </w:tbl>
    <w:p>
      <w:pPr>
        <w:pStyle w:val="Contenudetableau"/>
        <w:rPr/>
      </w:pPr>
      <w:r>
        <w:rPr/>
      </w:r>
    </w:p>
    <w:p>
      <w:pPr>
        <w:pStyle w:val="Standard1"/>
        <w:rPr/>
      </w:pPr>
      <w:r>
        <w:rPr>
          <w:b/>
          <w:bCs/>
          <w:sz w:val="21"/>
          <w:szCs w:val="21"/>
        </w:rPr>
        <w:t>Date d’approbation du rapport d’activité par le DT</w:t>
      </w:r>
      <w:r>
        <w:rPr>
          <w:rStyle w:val="FootnoteReference"/>
          <w:b/>
          <w:bCs/>
          <w:sz w:val="21"/>
          <w:szCs w:val="21"/>
        </w:rPr>
        <w:footnoteReference w:id="3"/>
      </w:r>
      <w:r>
        <w:rPr>
          <w:b/>
          <w:bCs/>
          <w:sz w:val="21"/>
          <w:szCs w:val="21"/>
        </w:rPr>
        <w:t> : 17 / 06 / 2026</w:t>
      </w:r>
    </w:p>
    <w:p>
      <w:pPr>
        <w:pStyle w:val="Standard1"/>
        <w:rPr>
          <w:bCs/>
          <w:i/>
          <w:iCs/>
          <w:sz w:val="14"/>
          <w:szCs w:val="40"/>
        </w:rPr>
      </w:pPr>
      <w:r>
        <w:rPr>
          <w:bCs/>
          <w:i/>
          <w:iCs/>
          <w:sz w:val="14"/>
          <w:szCs w:val="40"/>
        </w:rPr>
        <w:t xml:space="preserve">En signant ce compte-rendu, le DT atteste la véracité des informations </w:t>
      </w:r>
    </w:p>
    <w:p>
      <w:pPr>
        <w:pStyle w:val="Standard1"/>
        <w:rPr>
          <w:bCs/>
          <w:i/>
          <w:iCs/>
          <w:sz w:val="14"/>
          <w:szCs w:val="40"/>
        </w:rPr>
      </w:pPr>
      <w:r>
        <w:rPr>
          <w:bCs/>
          <w:i/>
          <w:iCs/>
          <w:sz w:val="14"/>
          <w:szCs w:val="40"/>
        </w:rPr>
        <w:drawing>
          <wp:anchor distT="0" distB="0" distL="0" distR="0" simplePos="0" relativeHeight="6" behindDoc="0" locked="0" layoutInCell="1" allowOverlap="1">
            <wp:simplePos x="0" y="0"/>
            <wp:positionH relativeFrom="column">
              <wp:posOffset>1969770</wp:posOffset>
            </wp:positionH>
            <wp:positionV relativeFrom="paragraph">
              <wp:posOffset>25400</wp:posOffset>
            </wp:positionV>
            <wp:extent cx="1042035" cy="527685"/>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3"/>
                    <a:stretch>
                      <a:fillRect/>
                    </a:stretch>
                  </pic:blipFill>
                  <pic:spPr bwMode="auto">
                    <a:xfrm>
                      <a:off x="0" y="0"/>
                      <a:ext cx="1042035" cy="527685"/>
                    </a:xfrm>
                    <a:prstGeom prst="rect">
                      <a:avLst/>
                    </a:prstGeom>
                    <a:noFill/>
                  </pic:spPr>
                </pic:pic>
              </a:graphicData>
            </a:graphic>
          </wp:anchor>
        </w:drawing>
      </w:r>
      <w:r>
        <w:rPr>
          <w:bCs/>
          <w:i/>
          <w:iCs/>
          <w:sz w:val="14"/>
          <w:szCs w:val="40"/>
        </w:rPr>
        <w:t xml:space="preserve">factuelles mentionnées par le doctorant. </w:t>
      </w:r>
    </w:p>
    <w:p>
      <w:pPr>
        <w:pStyle w:val="Standard1"/>
        <w:rPr/>
      </w:pPr>
      <w:r>
        <w:rPr/>
      </w:r>
    </w:p>
    <w:p>
      <w:pPr>
        <w:pStyle w:val="Contenudetableau"/>
        <w:rPr/>
      </w:pPr>
      <w:r>
        <w:rPr/>
      </w:r>
    </w:p>
    <w:p>
      <w:pPr>
        <w:pStyle w:val="Standard1"/>
        <w:rPr>
          <w:b/>
          <w:bCs/>
          <w:sz w:val="21"/>
          <w:szCs w:val="21"/>
        </w:rPr>
      </w:pPr>
      <w:r>
        <w:rPr>
          <w:b/>
          <w:bCs/>
          <w:sz w:val="21"/>
          <w:szCs w:val="21"/>
        </w:rPr>
      </w:r>
    </w:p>
    <w:p>
      <w:pPr>
        <w:pStyle w:val="Standard"/>
        <w:jc w:val="both"/>
        <w:rPr/>
      </w:pPr>
      <w:r>
        <w:rPr>
          <w:rFonts w:cs="Arial" w:ascii="Arial" w:hAnsi="Arial"/>
          <w:bCs/>
          <w:i/>
          <w:iCs/>
          <w:sz w:val="20"/>
          <w:szCs w:val="20"/>
        </w:rPr>
        <w:t>Après avoir recueilli l’avis et les commentaires de son DT rattaché à l’ED, le doctorant transmet son rapport annuel d’activité et ses annexes</w:t>
      </w:r>
      <w:r>
        <w:rPr>
          <w:rStyle w:val="FootnoteReference"/>
          <w:rFonts w:cs="Arial" w:ascii="Arial" w:hAnsi="Arial"/>
          <w:bCs/>
          <w:i/>
          <w:iCs/>
          <w:sz w:val="20"/>
          <w:szCs w:val="20"/>
        </w:rPr>
        <w:footnoteReference w:id="4"/>
      </w:r>
      <w:r>
        <w:rPr>
          <w:rFonts w:cs="Arial" w:ascii="Arial" w:hAnsi="Arial"/>
          <w:bCs/>
          <w:i/>
          <w:iCs/>
          <w:sz w:val="20"/>
          <w:szCs w:val="20"/>
        </w:rPr>
        <w:t xml:space="preserve"> à son Référent Scientifique de Spécialité Doctorale, à son DT et à tous les membres de son CSI en précisant les dates et heures des échéances suivantes</w:t>
      </w:r>
      <w:r>
        <w:rPr>
          <w:i/>
          <w:sz w:val="20"/>
        </w:rPr>
        <w:t>.</w:t>
      </w:r>
    </w:p>
    <w:sectPr>
      <w:headerReference w:type="even" r:id="rId4"/>
      <w:headerReference w:type="default" r:id="rId5"/>
      <w:headerReference w:type="first" r:id="rId6"/>
      <w:footnotePr>
        <w:numFmt w:val="decimal"/>
      </w:footnotePr>
      <w:type w:val="nextPage"/>
      <w:pgSz w:w="11906" w:h="16838"/>
      <w:pgMar w:left="1418" w:right="1418" w:gutter="0" w:header="720" w:top="777" w:footer="0" w:bottom="9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imbus Roman No9 L">
    <w:altName w:val="Times New Roman"/>
    <w:charset w:val="01" w:characterSet="utf-8"/>
    <w:family w:val="roman"/>
    <w:pitch w:val="variable"/>
  </w:font>
  <w:font w:name="Wingdings">
    <w:charset w:val="01" w:characterSet="utf-8"/>
    <w:family w:val="roman"/>
    <w:pitch w:val="variable"/>
  </w:font>
  <w:font w:name="Wingdings 2">
    <w:charset w:val="01" w:characterSet="utf-8"/>
    <w:family w:val="roman"/>
    <w:pitch w:val="variable"/>
  </w:font>
  <w:font w:name="StarSymbol">
    <w:altName w:val="Arial Unicode MS"/>
    <w:charset w:val="01" w:characterSet="utf-8"/>
    <w:family w:val="roman"/>
    <w:pitch w:val="variable"/>
  </w:font>
  <w:font w:name="Times New Roman">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Tahoma">
    <w:charset w:val="01" w:characterSet="utf-8"/>
    <w:family w:val="swiss"/>
    <w:pitch w:val="variable"/>
  </w:font>
  <w:font w:name="Nimbus Sans L">
    <w:altName w:val="Arial"/>
    <w:charset w:val="01" w:characterSet="utf-8"/>
    <w:family w:val="roman"/>
    <w:pitch w:val="variable"/>
  </w:font>
  <w:font w:name="Arial">
    <w:charset w:val="01" w:characterSet="utf-8"/>
    <w:family w:val="swiss"/>
    <w:pitch w:val="variable"/>
  </w:font>
  <w:font w:name="Courier New">
    <w:charset w:val="01" w:characterSet="utf-8"/>
    <w:family w:val="swiss"/>
    <w:pitch w:val="variable"/>
  </w:font>
  <w:font w:name="Nimbus Mono L">
    <w:altName w:val="Courier New"/>
    <w:charset w:val="01" w:characterSet="utf-8"/>
    <w:family w:val="swiss"/>
    <w:pitch w:val="variable"/>
  </w:font>
  <w:font w:name="Comic Sans MS">
    <w:charset w:val="01" w:characterSet="utf-8"/>
    <w:family w:val="swiss"/>
    <w:pitch w:val="variable"/>
  </w:font>
  <w:font w:name="Times-Roman">
    <w:altName w:val="Times New Roman"/>
    <w:charset w:val="01" w:characterSet="utf-8"/>
    <w:family w:val="roman"/>
    <w:pitch w:val="variable"/>
  </w:font>
  <w:font w:name="Cambria">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Caractresdenotedebasdepage"/>
        </w:rPr>
        <w:footnoteRef/>
      </w:r>
      <w:r>
        <w:rPr>
          <w:rFonts w:cs="Arial" w:ascii="Arial" w:hAnsi="Arial"/>
          <w:i/>
          <w:iCs/>
          <w:sz w:val="18"/>
          <w:szCs w:val="18"/>
        </w:rPr>
        <w:t xml:space="preserve"> </w:t>
      </w:r>
      <w:r>
        <w:rPr>
          <w:rFonts w:cs="Arial" w:ascii="Arial" w:hAnsi="Arial"/>
          <w:i/>
          <w:iCs/>
          <w:sz w:val="18"/>
          <w:szCs w:val="18"/>
        </w:rPr>
        <w:t xml:space="preserve">A la suite du rapport d’activité, seront placées dans le même document pdf les annexes suivantes : « Portefeuille de compétences », « Convention individuelle de formation » et CR de CSI antérieurs (à télécharger depuis la page ADUM du doctorant) ainsi qu’un document scientifique résumant les travaux de recherche accomplis. </w:t>
      </w:r>
    </w:p>
  </w:footnote>
  <w:footnote w:id="3">
    <w:p>
      <w:pPr>
        <w:pStyle w:val="FootnoteText"/>
        <w:rPr/>
      </w:pPr>
      <w:r>
        <w:rPr>
          <w:rStyle w:val="Caractresdenotedebasdepage"/>
        </w:rPr>
        <w:footnoteRef/>
      </w:r>
      <w:r>
        <w:rPr>
          <w:rFonts w:cs="Arial" w:ascii="Arial" w:hAnsi="Arial"/>
          <w:i/>
          <w:iCs/>
          <w:sz w:val="18"/>
          <w:szCs w:val="18"/>
        </w:rPr>
        <w:t xml:space="preserve"> </w:t>
      </w:r>
      <w:r>
        <w:rPr>
          <w:rFonts w:cs="Arial" w:ascii="Arial" w:hAnsi="Arial"/>
          <w:i/>
          <w:iCs/>
          <w:sz w:val="18"/>
          <w:szCs w:val="18"/>
        </w:rPr>
        <w:t>Le Directeur de Thèse rattaché à l’ED I2S signe au nom de toute l’équipe d’encadrement.</w:t>
      </w:r>
    </w:p>
  </w:footnote>
  <w:footnote w:id="4">
    <w:p>
      <w:pPr>
        <w:pStyle w:val="FootnoteText"/>
        <w:jc w:val="both"/>
        <w:rPr/>
      </w:pPr>
      <w:r>
        <w:rPr>
          <w:rStyle w:val="Caractresdenotedebasdepage"/>
        </w:rPr>
        <w:footnoteRef/>
      </w:r>
      <w:r>
        <w:rPr>
          <w:rFonts w:cs="Arial" w:ascii="Arial" w:hAnsi="Arial"/>
          <w:sz w:val="18"/>
          <w:szCs w:val="18"/>
        </w:rPr>
        <w:t xml:space="preserve"> </w:t>
      </w:r>
      <w:r>
        <w:rPr>
          <w:rFonts w:cs="Arial" w:ascii="Arial" w:hAnsi="Arial"/>
          <w:sz w:val="18"/>
          <w:szCs w:val="18"/>
        </w:rPr>
        <w:t xml:space="preserve">A la suite du rapport d’activité, sont placées dans le même document pdf les annexes suivantes : « Portefeuille de compétences », « Convention individuelle de formation » et CR de CSI antérieurs (depuis la page ADUM du doctorant) ainsi qu’un document scientifique résumant les travaux de recherche accomplis.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0" w:type="dxa"/>
      <w:jc w:val="start"/>
      <w:tblInd w:w="-118" w:type="dxa"/>
      <w:tblLayout w:type="fixed"/>
      <w:tblCellMar>
        <w:top w:w="0" w:type="dxa"/>
        <w:start w:w="108" w:type="dxa"/>
        <w:bottom w:w="0" w:type="dxa"/>
        <w:end w:w="108" w:type="dxa"/>
      </w:tblCellMar>
      <w:tblLook w:noHBand="0" w:noVBand="1" w:firstColumn="1" w:lastRow="0" w:lastColumn="0" w:firstRow="1" w:val="04a0"/>
    </w:tblPr>
    <w:tblGrid>
      <w:gridCol w:w="4605"/>
      <w:gridCol w:w="4605"/>
    </w:tblGrid>
    <w:tr>
      <w:trPr/>
      <w:tc>
        <w:tcPr>
          <w:tcW w:w="4605" w:type="dxa"/>
          <w:tcBorders/>
          <w:shd w:color="auto" w:fill="auto" w:val="clear"/>
        </w:tcPr>
        <w:p>
          <w:pPr>
            <w:pStyle w:val="En-tte1"/>
            <w:snapToGrid w:val="false"/>
            <w:rPr/>
          </w:pPr>
          <w:r>
            <w:rPr/>
            <w:drawing>
              <wp:anchor distT="0" distB="0" distL="0" distR="0" simplePos="0" relativeHeight="3" behindDoc="1" locked="0" layoutInCell="1" allowOverlap="1">
                <wp:simplePos x="0" y="0"/>
                <wp:positionH relativeFrom="column">
                  <wp:posOffset>69850</wp:posOffset>
                </wp:positionH>
                <wp:positionV relativeFrom="paragraph">
                  <wp:posOffset>121920</wp:posOffset>
                </wp:positionV>
                <wp:extent cx="1375410" cy="786765"/>
                <wp:effectExtent l="0" t="0" r="0" b="0"/>
                <wp:wrapNone/>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1"/>
                        <a:stretch>
                          <a:fillRect/>
                        </a:stretch>
                      </pic:blipFill>
                      <pic:spPr bwMode="auto">
                        <a:xfrm>
                          <a:off x="0" y="0"/>
                          <a:ext cx="1375410" cy="786765"/>
                        </a:xfrm>
                        <a:prstGeom prst="rect">
                          <a:avLst/>
                        </a:prstGeom>
                        <a:noFill/>
                      </pic:spPr>
                    </pic:pic>
                  </a:graphicData>
                </a:graphic>
              </wp:anchor>
            </w:drawing>
          </w:r>
        </w:p>
      </w:tc>
      <w:tc>
        <w:tcPr>
          <w:tcW w:w="4605" w:type="dxa"/>
          <w:tcBorders/>
          <w:shd w:color="auto" w:fill="auto" w:val="clear"/>
        </w:tcPr>
        <w:p>
          <w:pPr>
            <w:pStyle w:val="En-tte1"/>
            <w:snapToGrid w:val="false"/>
            <w:jc w:val="end"/>
            <w:rPr/>
          </w:pPr>
          <w:r>
            <w:drawing>
              <wp:anchor distT="0" distB="0" distL="0" distR="0" simplePos="0" relativeHeight="4" behindDoc="1" locked="0" layoutInCell="1" allowOverlap="1">
                <wp:simplePos x="0" y="0"/>
                <wp:positionH relativeFrom="column">
                  <wp:posOffset>1887855</wp:posOffset>
                </wp:positionH>
                <wp:positionV relativeFrom="paragraph">
                  <wp:posOffset>66675</wp:posOffset>
                </wp:positionV>
                <wp:extent cx="896620" cy="89662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2"/>
                        <a:stretch>
                          <a:fillRect/>
                        </a:stretch>
                      </pic:blipFill>
                      <pic:spPr bwMode="auto">
                        <a:xfrm>
                          <a:off x="0" y="0"/>
                          <a:ext cx="896620" cy="896620"/>
                        </a:xfrm>
                        <a:prstGeom prst="rect">
                          <a:avLst/>
                        </a:prstGeom>
                        <a:noFill/>
                      </pic:spPr>
                    </pic:pic>
                  </a:graphicData>
                </a:graphic>
              </wp:anchor>
            </w:drawing>
          </w:r>
          <w:r>
            <w:rPr/>
            <w:t xml:space="preserve"> </w:t>
          </w:r>
        </w:p>
      </w:tc>
    </w:tr>
  </w:tbl>
  <w:p>
    <w:pPr>
      <w:pStyle w:val="En-tte1"/>
      <w:rPr/>
    </w:pPr>
    <w:r>
      <w:rPr/>
      <w:drawing>
        <wp:anchor distT="0" distB="0" distL="0" distR="0" simplePos="0" relativeHeight="2" behindDoc="1" locked="0" layoutInCell="1" allowOverlap="1">
          <wp:simplePos x="0" y="0"/>
          <wp:positionH relativeFrom="column">
            <wp:posOffset>3429000</wp:posOffset>
          </wp:positionH>
          <wp:positionV relativeFrom="paragraph">
            <wp:posOffset>44450</wp:posOffset>
          </wp:positionV>
          <wp:extent cx="1143000" cy="600710"/>
          <wp:effectExtent l="0" t="0" r="0" b="0"/>
          <wp:wrapNone/>
          <wp:docPr id="5" name="Image 12" descr="IM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2" descr="IMTales.png"/>
                  <pic:cNvPicPr>
                    <a:picLocks noChangeAspect="1" noChangeArrowheads="1"/>
                  </pic:cNvPicPr>
                </pic:nvPicPr>
                <pic:blipFill>
                  <a:blip r:embed="rId3"/>
                  <a:stretch>
                    <a:fillRect/>
                  </a:stretch>
                </pic:blipFill>
                <pic:spPr bwMode="auto">
                  <a:xfrm>
                    <a:off x="0" y="0"/>
                    <a:ext cx="1143000" cy="600710"/>
                  </a:xfrm>
                  <a:prstGeom prst="rect">
                    <a:avLst/>
                  </a:prstGeom>
                  <a:noFill/>
                </pic:spPr>
              </pic:pic>
            </a:graphicData>
          </a:graphic>
        </wp:anchor>
      </w:drawing>
    </w:r>
  </w:p>
</w:hdr>
</file>

<file path=word/settings.xml><?xml version="1.0" encoding="utf-8"?>
<w:settings xmlns:w="http://schemas.openxmlformats.org/wordprocessingml/2006/main">
  <w:zoom w:percent="140"/>
  <w:defaultTabStop w:val="708"/>
  <w:autoHyphenation w:val="true"/>
  <w:hyphenationZone w:val="425"/>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No9 L" w:hAnsi="Nimbus Roman No9 L" w:eastAsia="DejaVu Sans" w:cs="DejaVu Sans"/>
        <w:kern w:val="2"/>
        <w:sz w:val="24"/>
        <w:szCs w:val="24"/>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Nimbus Roman No9 L" w:hAnsi="Nimbus Roman No9 L" w:eastAsia="DejaVu Sans" w:cs="DejaVu Sans"/>
      <w:color w:val="auto"/>
      <w:kern w:val="2"/>
      <w:sz w:val="24"/>
      <w:szCs w:val="24"/>
      <w:lang w:val="fr-FR" w:eastAsia="fr-FR" w:bidi="ar-SA"/>
    </w:rPr>
  </w:style>
  <w:style w:type="paragraph" w:styleId="Heading1">
    <w:name w:val="heading 1"/>
    <w:basedOn w:val="Titre"/>
    <w:next w:val="BodyText"/>
    <w:qFormat/>
    <w:pPr>
      <w:outlineLvl w:val="0"/>
    </w:pPr>
    <w:rPr>
      <w:rFonts w:ascii="Liberation Serif" w:hAnsi="Liberation Serif" w:cs="Noto Sans Arabic"/>
      <w:b/>
      <w:bCs/>
      <w:sz w:val="48"/>
      <w:szCs w:val="48"/>
    </w:rPr>
  </w:style>
  <w:style w:type="character" w:styleId="DefaultParagraphFont" w:default="1">
    <w:name w:val="Default Paragraph Font"/>
    <w:uiPriority w:val="1"/>
    <w:semiHidden/>
    <w:unhideWhenUsed/>
    <w:qFormat/>
    <w:rPr/>
  </w:style>
  <w:style w:type="character" w:styleId="WW8Num1z0" w:customStyle="1">
    <w:name w:val="WW8Num1z0"/>
    <w:qFormat/>
    <w:rPr>
      <w:rFonts w:ascii="Wingdings" w:hAnsi="Wingdings" w:eastAsia="Wingdings" w:cs="StarSymbol,"/>
      <w:sz w:val="18"/>
      <w:szCs w:val="18"/>
    </w:rPr>
  </w:style>
  <w:style w:type="character" w:styleId="Absatz-Standardschriftart" w:customStyle="1">
    <w:name w:val="Absatz-Standardschriftart"/>
    <w:qFormat/>
    <w:rPr/>
  </w:style>
  <w:style w:type="character" w:styleId="WW8Num1z1" w:customStyle="1">
    <w:name w:val="WW8Num1z1"/>
    <w:qFormat/>
    <w:rPr>
      <w:rFonts w:ascii="Wingdings 2" w:hAnsi="Wingdings 2" w:eastAsia="Wingdings 2" w:cs="StarSymbol,"/>
      <w:sz w:val="18"/>
      <w:szCs w:val="18"/>
    </w:rPr>
  </w:style>
  <w:style w:type="character" w:styleId="WW8Num1z2" w:customStyle="1">
    <w:name w:val="WW8Num1z2"/>
    <w:qFormat/>
    <w:rPr>
      <w:rFonts w:ascii="StarSymbol," w:hAnsi="StarSymbol," w:eastAsia="StarSymbol," w:cs="StarSymbol,"/>
      <w:sz w:val="18"/>
      <w:szCs w:val="18"/>
    </w:rPr>
  </w:style>
  <w:style w:type="character" w:styleId="WW8Num3z0" w:customStyle="1">
    <w:name w:val="WW8Num3z0"/>
    <w:qFormat/>
    <w:rPr>
      <w:rFonts w:ascii="Wingdings" w:hAnsi="Wingdings" w:eastAsia="Wingdings" w:cs="StarSymbol,"/>
      <w:sz w:val="18"/>
      <w:szCs w:val="18"/>
    </w:rPr>
  </w:style>
  <w:style w:type="character" w:styleId="WW8Num3z1" w:customStyle="1">
    <w:name w:val="WW8Num3z1"/>
    <w:qFormat/>
    <w:rPr>
      <w:rFonts w:ascii="Wingdings 2" w:hAnsi="Wingdings 2" w:eastAsia="Wingdings 2" w:cs="StarSymbol,"/>
      <w:sz w:val="18"/>
      <w:szCs w:val="18"/>
    </w:rPr>
  </w:style>
  <w:style w:type="character" w:styleId="WW8Num3z2" w:customStyle="1">
    <w:name w:val="WW8Num3z2"/>
    <w:qFormat/>
    <w:rPr>
      <w:rFonts w:ascii="StarSymbol," w:hAnsi="StarSymbol," w:eastAsia="StarSymbol," w:cs="StarSymbol,"/>
      <w:sz w:val="18"/>
      <w:szCs w:val="18"/>
    </w:rPr>
  </w:style>
  <w:style w:type="character" w:styleId="WW8Num4z0" w:customStyle="1">
    <w:name w:val="WW8Num4z0"/>
    <w:qFormat/>
    <w:rPr>
      <w:rFonts w:ascii="Times New Roman" w:hAnsi="Times New Roman" w:eastAsia="Times New Roman" w:cs="Times New Roman"/>
      <w:color w:val="000000"/>
    </w:rPr>
  </w:style>
  <w:style w:type="character" w:styleId="WW8Num4z1" w:customStyle="1">
    <w:name w:val="WW8Num4z1"/>
    <w:qFormat/>
    <w:rPr>
      <w:rFonts w:ascii="Symbol" w:hAnsi="Symbol" w:eastAsia="Times New Roman" w:cs="Times New Roman"/>
    </w:rPr>
  </w:style>
  <w:style w:type="character" w:styleId="WW8Num4z2" w:customStyle="1">
    <w:name w:val="WW8Num4z2"/>
    <w:qFormat/>
    <w:rPr>
      <w:rFonts w:ascii="Wingdings" w:hAnsi="Wingdings" w:eastAsia="Wingdings" w:cs="Wingdings"/>
    </w:rPr>
  </w:style>
  <w:style w:type="character" w:styleId="WW8Num4z3" w:customStyle="1">
    <w:name w:val="WW8Num4z3"/>
    <w:qFormat/>
    <w:rPr>
      <w:rFonts w:ascii="Symbol" w:hAnsi="Symbol" w:eastAsia="Symbol" w:cs="Symbol"/>
    </w:rPr>
  </w:style>
  <w:style w:type="character" w:styleId="WW8Num4z4" w:customStyle="1">
    <w:name w:val="WW8Num4z4"/>
    <w:qFormat/>
    <w:rPr>
      <w:rFonts w:ascii="Courier New" w:hAnsi="Courier New" w:eastAsia="Courier New" w:cs="Courier New"/>
    </w:rPr>
  </w:style>
  <w:style w:type="character" w:styleId="WW8Num5z0" w:customStyle="1">
    <w:name w:val="WW8Num5z0"/>
    <w:qFormat/>
    <w:rPr>
      <w:rFonts w:ascii="Symbol" w:hAnsi="Symbol" w:eastAsia="Symbol" w:cs="Symbol"/>
    </w:rPr>
  </w:style>
  <w:style w:type="character" w:styleId="WW8Num6z0" w:customStyle="1">
    <w:name w:val="WW8Num6z0"/>
    <w:qFormat/>
    <w:rPr>
      <w:sz w:val="28"/>
    </w:rPr>
  </w:style>
  <w:style w:type="character" w:styleId="Internetlink" w:customStyle="1">
    <w:name w:val="Internet link"/>
    <w:basedOn w:val="DefaultParagraphFont"/>
    <w:qFormat/>
    <w:rPr>
      <w:color w:val="0000FF"/>
      <w:u w:val="single"/>
    </w:rPr>
  </w:style>
  <w:style w:type="character" w:styleId="Emphasis">
    <w:name w:val="Emphasis"/>
    <w:basedOn w:val="DefaultParagraphFont"/>
    <w:qFormat/>
    <w:rPr>
      <w:i/>
      <w:iCs/>
    </w:rPr>
  </w:style>
  <w:style w:type="character" w:styleId="StrongEmphasis" w:customStyle="1">
    <w:name w:val="Strong Emphasis"/>
    <w:basedOn w:val="DefaultParagraphFont"/>
    <w:qFormat/>
    <w:rPr>
      <w:b/>
      <w:bCs/>
    </w:rPr>
  </w:style>
  <w:style w:type="character" w:styleId="En-tteCar" w:customStyle="1">
    <w:name w:val="En-tête Car"/>
    <w:basedOn w:val="DefaultParagraphFont"/>
    <w:qFormat/>
    <w:rPr/>
  </w:style>
  <w:style w:type="character" w:styleId="PieddepageCar" w:customStyle="1">
    <w:name w:val="Pied de page Car"/>
    <w:basedOn w:val="DefaultParagraphFont"/>
    <w:qFormat/>
    <w:rPr/>
  </w:style>
  <w:style w:type="character" w:styleId="TextedebullesCar" w:customStyle="1">
    <w:name w:val="Texte de bulles Car"/>
    <w:basedOn w:val="DefaultParagraphFont"/>
    <w:qFormat/>
    <w:rPr>
      <w:rFonts w:ascii="Tahoma" w:hAnsi="Tahoma" w:eastAsia="Tahoma" w:cs="Tahoma"/>
      <w:sz w:val="16"/>
      <w:szCs w:val="16"/>
    </w:rPr>
  </w:style>
  <w:style w:type="character" w:styleId="NotedebasdepageCar" w:customStyle="1">
    <w:name w:val="Note de bas de page Car"/>
    <w:basedOn w:val="DefaultParagraphFont"/>
    <w:qFormat/>
    <w:rPr>
      <w:sz w:val="20"/>
      <w:szCs w:val="20"/>
    </w:rPr>
  </w:style>
  <w:style w:type="character" w:styleId="Caractresdenotedebasdepage" w:customStyle="1">
    <w:name w:val="Caractères de note de bas de page"/>
    <w:qFormat/>
    <w:rPr>
      <w:vertAlign w:val="superscript"/>
    </w:rPr>
  </w:style>
  <w:style w:type="character" w:styleId="Caractresdenotedebasdepageuser" w:customStyle="1">
    <w:name w:val="Caractères de note de bas de page (user)"/>
    <w:qFormat/>
    <w:rPr>
      <w:vertAlign w:val="superscript"/>
    </w:rPr>
  </w:style>
  <w:style w:type="character" w:styleId="FootnoteReference">
    <w:name w:val="footnote reference"/>
    <w:rPr>
      <w:vertAlign w:val="superscript"/>
    </w:rPr>
  </w:style>
  <w:style w:type="character" w:styleId="Caractresdenotedefinuser" w:customStyle="1">
    <w:name w:val="Caractères de note de fin (user)"/>
    <w:qFormat/>
    <w:rPr>
      <w:vertAlign w:val="superscript"/>
    </w:rPr>
  </w:style>
  <w:style w:type="character" w:styleId="Caractresdenotedefin" w:customStyle="1">
    <w:name w:val="Caractères de note de fin"/>
    <w:qFormat/>
    <w:rPr>
      <w:vertAlign w:val="superscript"/>
    </w:rPr>
  </w:style>
  <w:style w:type="character" w:styleId="EndnoteReference">
    <w:name w:val="endnote reference"/>
    <w:rPr>
      <w:vertAlign w:val="superscript"/>
    </w:rPr>
  </w:style>
  <w:style w:type="character" w:styleId="Strong">
    <w:name w:val="Strong"/>
    <w:qFormat/>
    <w:rPr>
      <w:b/>
      <w:bCs/>
    </w:rPr>
  </w:style>
  <w:style w:type="paragraph" w:styleId="Titre" w:customStyle="1">
    <w:name w:val="Titre"/>
    <w:basedOn w:val="Standard1"/>
    <w:next w:val="Textbody1"/>
    <w:qFormat/>
    <w:pPr>
      <w:keepNext w:val="true"/>
      <w:spacing w:before="240" w:after="120"/>
    </w:pPr>
    <w:rPr>
      <w:rFonts w:ascii="Nimbus Sans L" w:hAnsi="Nimbus Sans L"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Textbody1"/>
    <w:pPr/>
    <w:rPr>
      <w:rFonts w:cs="Lucidasans"/>
    </w:rPr>
  </w:style>
  <w:style w:type="paragraph" w:styleId="Caption">
    <w:name w:val="caption"/>
    <w:basedOn w:val="Standard1"/>
    <w:next w:val="Standard1"/>
    <w:qFormat/>
    <w:pPr>
      <w:jc w:val="center"/>
    </w:pPr>
    <w:rPr/>
  </w:style>
  <w:style w:type="paragraph" w:styleId="Index" w:customStyle="1">
    <w:name w:val="Index"/>
    <w:basedOn w:val="Standard1"/>
    <w:qFormat/>
    <w:pPr>
      <w:suppressLineNumbers/>
    </w:pPr>
    <w:rPr/>
  </w:style>
  <w:style w:type="paragraph" w:styleId="Title">
    <w:name w:val="Title"/>
    <w:basedOn w:val="Standard1"/>
    <w:next w:val="Subtitle"/>
    <w:uiPriority w:val="10"/>
    <w:qFormat/>
    <w:pPr>
      <w:widowControl/>
      <w:jc w:val="center"/>
    </w:pPr>
    <w:rPr>
      <w:rFonts w:ascii="Times New Roman" w:hAnsi="Times New Roman" w:cs="Times New Roman"/>
      <w:sz w:val="28"/>
      <w:szCs w:val="20"/>
    </w:rPr>
  </w:style>
  <w:style w:type="paragraph" w:styleId="Standard" w:customStyle="1">
    <w:name w:val="Standard"/>
    <w:qFormat/>
    <w:pPr>
      <w:widowControl w:val="false"/>
      <w:suppressAutoHyphens w:val="true"/>
      <w:bidi w:val="0"/>
      <w:spacing w:before="0" w:after="0"/>
      <w:jc w:val="start"/>
      <w:textAlignment w:val="baseline"/>
    </w:pPr>
    <w:rPr>
      <w:rFonts w:ascii="Nimbus Roman No9 L" w:hAnsi="Nimbus Roman No9 L" w:eastAsia="DejaVu Sans" w:cs="DejaVu Sans"/>
      <w:color w:val="auto"/>
      <w:kern w:val="2"/>
      <w:sz w:val="24"/>
      <w:szCs w:val="24"/>
      <w:lang w:val="fr-FR" w:eastAsia="fr-FR" w:bidi="ar-SA"/>
    </w:rPr>
  </w:style>
  <w:style w:type="paragraph" w:styleId="Textbody" w:customStyle="1">
    <w:name w:val="Text body"/>
    <w:basedOn w:val="Standard"/>
    <w:qFormat/>
    <w:pPr>
      <w:spacing w:lineRule="auto" w:line="276" w:before="0" w:after="140"/>
    </w:pPr>
    <w:rPr/>
  </w:style>
  <w:style w:type="paragraph" w:styleId="Standard1" w:customStyle="1">
    <w:name w:val="Standard1"/>
    <w:qFormat/>
    <w:pPr>
      <w:widowControl w:val="false"/>
      <w:suppressAutoHyphens w:val="true"/>
      <w:bidi w:val="0"/>
      <w:spacing w:before="0" w:after="0"/>
      <w:jc w:val="both"/>
      <w:textAlignment w:val="baseline"/>
    </w:pPr>
    <w:rPr>
      <w:rFonts w:ascii="Arial" w:hAnsi="Arial" w:eastAsia="Times New Roman" w:cs="Arial"/>
      <w:color w:val="auto"/>
      <w:kern w:val="2"/>
      <w:sz w:val="24"/>
      <w:szCs w:val="24"/>
      <w:lang w:val="fr-FR" w:eastAsia="fr-FR" w:bidi="ar-SA"/>
    </w:rPr>
  </w:style>
  <w:style w:type="paragraph" w:styleId="Textbody1" w:customStyle="1">
    <w:name w:val="Text body1"/>
    <w:basedOn w:val="Standard1"/>
    <w:qFormat/>
    <w:pPr>
      <w:widowControl/>
    </w:pPr>
    <w:rPr>
      <w:rFonts w:ascii="Times New Roman" w:hAnsi="Times New Roman" w:cs="Times New Roman"/>
      <w:u w:val="single"/>
    </w:rPr>
  </w:style>
  <w:style w:type="paragraph" w:styleId="Lgende1" w:customStyle="1">
    <w:name w:val="Légende1"/>
    <w:basedOn w:val="Standard1"/>
    <w:qFormat/>
    <w:pPr>
      <w:suppressLineNumbers/>
      <w:spacing w:before="120" w:after="120"/>
    </w:pPr>
    <w:rPr>
      <w:i/>
      <w:iCs/>
    </w:rPr>
  </w:style>
  <w:style w:type="paragraph" w:styleId="Titre11" w:customStyle="1">
    <w:name w:val="Titre 11"/>
    <w:basedOn w:val="Standard1"/>
    <w:next w:val="Standard1"/>
    <w:qFormat/>
    <w:pPr>
      <w:keepNext w:val="true"/>
      <w:outlineLvl w:val="0"/>
    </w:pPr>
    <w:rPr>
      <w:b/>
      <w:bCs/>
      <w:caps/>
      <w:sz w:val="28"/>
      <w:szCs w:val="28"/>
    </w:rPr>
  </w:style>
  <w:style w:type="paragraph" w:styleId="Titre21" w:customStyle="1">
    <w:name w:val="Titre 21"/>
    <w:basedOn w:val="Standard1"/>
    <w:next w:val="Standard1"/>
    <w:qFormat/>
    <w:pPr>
      <w:keepNext w:val="true"/>
      <w:outlineLvl w:val="1"/>
    </w:pPr>
    <w:rPr>
      <w:b/>
      <w:bCs/>
      <w:caps/>
    </w:rPr>
  </w:style>
  <w:style w:type="paragraph" w:styleId="Titre31" w:customStyle="1">
    <w:name w:val="Titre 31"/>
    <w:basedOn w:val="Standard1"/>
    <w:next w:val="Standard1"/>
    <w:qFormat/>
    <w:pPr>
      <w:keepNext w:val="true"/>
      <w:outlineLvl w:val="2"/>
    </w:pPr>
    <w:rPr>
      <w:b/>
      <w:bCs/>
    </w:rPr>
  </w:style>
  <w:style w:type="paragraph" w:styleId="Titre41" w:customStyle="1">
    <w:name w:val="Titre 41"/>
    <w:basedOn w:val="Standard1"/>
    <w:next w:val="Standard1"/>
    <w:qFormat/>
    <w:pPr>
      <w:keepNext w:val="true"/>
      <w:spacing w:before="240" w:after="60"/>
    </w:pPr>
    <w:rPr>
      <w:rFonts w:ascii="Times New Roman" w:hAnsi="Times New Roman" w:cs="Times New Roman"/>
      <w:b/>
      <w:bCs/>
      <w:sz w:val="28"/>
      <w:szCs w:val="28"/>
    </w:rPr>
  </w:style>
  <w:style w:type="paragraph" w:styleId="Rpertoire" w:customStyle="1">
    <w:name w:val="Répertoire"/>
    <w:basedOn w:val="Standard1"/>
    <w:qFormat/>
    <w:pPr>
      <w:suppressLineNumbers/>
    </w:pPr>
    <w:rPr>
      <w:rFonts w:cs="Lucidasans"/>
    </w:rPr>
  </w:style>
  <w:style w:type="paragraph" w:styleId="References" w:customStyle="1">
    <w:name w:val="References"/>
    <w:basedOn w:val="Standard1"/>
    <w:qFormat/>
    <w:pPr>
      <w:widowControl/>
      <w:spacing w:lineRule="auto" w:line="480"/>
    </w:pPr>
    <w:rPr>
      <w:rFonts w:ascii="Times New Roman" w:hAnsi="Times New Roman" w:cs="Times New Roman"/>
      <w:sz w:val="16"/>
      <w:szCs w:val="16"/>
      <w:lang w:val="en-US"/>
    </w:rPr>
  </w:style>
  <w:style w:type="paragraph" w:styleId="En-tte1" w:customStyle="1">
    <w:name w:val="En-tête1"/>
    <w:basedOn w:val="Standard1"/>
    <w:qFormat/>
    <w:pPr>
      <w:tabs>
        <w:tab w:val="clear" w:pos="708"/>
        <w:tab w:val="center" w:pos="4536" w:leader="none"/>
        <w:tab w:val="right" w:pos="9072" w:leader="none"/>
      </w:tabs>
    </w:pPr>
    <w:rPr/>
  </w:style>
  <w:style w:type="paragraph" w:styleId="Pieddepage1" w:customStyle="1">
    <w:name w:val="Pied de page1"/>
    <w:basedOn w:val="Standard1"/>
    <w:qFormat/>
    <w:pPr>
      <w:tabs>
        <w:tab w:val="clear" w:pos="708"/>
        <w:tab w:val="center" w:pos="4536" w:leader="none"/>
        <w:tab w:val="right" w:pos="9072" w:leader="none"/>
      </w:tabs>
    </w:pPr>
    <w:rPr/>
  </w:style>
  <w:style w:type="paragraph" w:styleId="WW-PrformatHTML" w:customStyle="1">
    <w:name w:val="WW-Préformaté HTML"/>
    <w:basedOn w:val="Standard1"/>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Times New Roman"/>
      <w:sz w:val="20"/>
      <w:szCs w:val="20"/>
    </w:rPr>
  </w:style>
  <w:style w:type="paragraph" w:styleId="WW-Texteprformat" w:customStyle="1">
    <w:name w:val="WW-Texte préformaté"/>
    <w:basedOn w:val="Standard1"/>
    <w:qFormat/>
    <w:pPr>
      <w:widowControl/>
    </w:pPr>
    <w:rPr>
      <w:rFonts w:ascii="Nimbus Mono L" w:hAnsi="Nimbus Mono L" w:eastAsia="Nimbus Mono L" w:cs="Nimbus Mono L"/>
      <w:sz w:val="20"/>
      <w:szCs w:val="20"/>
    </w:rPr>
  </w:style>
  <w:style w:type="paragraph" w:styleId="comique" w:customStyle="1">
    <w:name w:val="comique"/>
    <w:basedOn w:val="Standard1"/>
    <w:qFormat/>
    <w:pPr>
      <w:widowControl/>
    </w:pPr>
    <w:rPr>
      <w:rFonts w:ascii="Comic Sans MS" w:hAnsi="Comic Sans MS" w:eastAsia="Comic Sans MS" w:cs="Times New Roman"/>
      <w:sz w:val="16"/>
    </w:rPr>
  </w:style>
  <w:style w:type="paragraph" w:styleId="BodyText2">
    <w:name w:val="Body Text 2"/>
    <w:basedOn w:val="Standard1"/>
    <w:qFormat/>
    <w:pPr>
      <w:widowControl/>
    </w:pPr>
    <w:rPr>
      <w:rFonts w:ascii="Times-Roman," w:hAnsi="Times-Roman," w:eastAsia="Times-Roman," w:cs="Times New Roman"/>
    </w:rPr>
  </w:style>
  <w:style w:type="paragraph" w:styleId="Subtitle">
    <w:name w:val="Subtitle"/>
    <w:basedOn w:val="Standard1"/>
    <w:next w:val="Textbody1"/>
    <w:uiPriority w:val="11"/>
    <w:qFormat/>
    <w:pPr>
      <w:widowControl/>
      <w:jc w:val="center"/>
    </w:pPr>
    <w:rPr>
      <w:rFonts w:ascii="Times New Roman" w:hAnsi="Times New Roman" w:cs="Times New Roman"/>
      <w:sz w:val="28"/>
      <w:szCs w:val="20"/>
      <w:u w:val="single"/>
    </w:rPr>
  </w:style>
  <w:style w:type="paragraph" w:styleId="Contenudetableauuser" w:customStyle="1">
    <w:name w:val="Contenu de tableau (user)"/>
    <w:basedOn w:val="Standard1"/>
    <w:qFormat/>
    <w:pPr>
      <w:suppressLineNumbers/>
    </w:pPr>
    <w:rPr/>
  </w:style>
  <w:style w:type="paragraph" w:styleId="Titredetableauuser" w:customStyle="1">
    <w:name w:val="Titre de tableau (user)"/>
    <w:basedOn w:val="Contenudetableauuser"/>
    <w:qFormat/>
    <w:pPr>
      <w:jc w:val="center"/>
    </w:pPr>
    <w:rPr>
      <w:b/>
      <w:bCs/>
    </w:rPr>
  </w:style>
  <w:style w:type="paragraph" w:styleId="Contenudetableau" w:customStyle="1">
    <w:name w:val="Contenu de tableau"/>
    <w:basedOn w:val="Standard1"/>
    <w:qFormat/>
    <w:pPr>
      <w:suppressLineNumbers/>
    </w:pPr>
    <w:rPr/>
  </w:style>
  <w:style w:type="paragraph" w:styleId="Titredetableau" w:customStyle="1">
    <w:name w:val="Titre de tableau"/>
    <w:basedOn w:val="Contenudetableau"/>
    <w:qFormat/>
    <w:pPr>
      <w:jc w:val="center"/>
    </w:pPr>
    <w:rPr>
      <w:b/>
      <w:bCs/>
    </w:rPr>
  </w:style>
  <w:style w:type="paragraph" w:styleId="En-tteetpieddepage" w:customStyle="1">
    <w:name w:val="En-tête et pied de page"/>
    <w:basedOn w:val="Standard"/>
    <w:qFormat/>
    <w:pPr/>
    <w:rPr/>
  </w:style>
  <w:style w:type="paragraph" w:styleId="En-tteetpieddepageuser" w:customStyle="1">
    <w:name w:val="En-tête et pied de page (user)"/>
    <w:basedOn w:val="Normal"/>
    <w:qFormat/>
    <w:pPr/>
    <w:rPr/>
  </w:style>
  <w:style w:type="paragraph" w:styleId="Header">
    <w:name w:val="header"/>
    <w:basedOn w:val="Standard"/>
    <w:pPr>
      <w:tabs>
        <w:tab w:val="clear" w:pos="708"/>
        <w:tab w:val="center" w:pos="4536" w:leader="none"/>
        <w:tab w:val="right" w:pos="9072" w:leader="none"/>
      </w:tabs>
    </w:pPr>
    <w:rPr/>
  </w:style>
  <w:style w:type="paragraph" w:styleId="Footer">
    <w:name w:val="footer"/>
    <w:basedOn w:val="Standard"/>
    <w:pPr>
      <w:tabs>
        <w:tab w:val="clear" w:pos="708"/>
        <w:tab w:val="center" w:pos="4536" w:leader="none"/>
        <w:tab w:val="right" w:pos="9072" w:leader="none"/>
      </w:tabs>
    </w:pPr>
    <w:rPr/>
  </w:style>
  <w:style w:type="paragraph" w:styleId="BalloonText">
    <w:name w:val="Balloon Text"/>
    <w:basedOn w:val="Standard"/>
    <w:qFormat/>
    <w:pPr/>
    <w:rPr>
      <w:rFonts w:ascii="Tahoma" w:hAnsi="Tahoma" w:eastAsia="Tahoma" w:cs="Tahoma"/>
      <w:sz w:val="16"/>
      <w:szCs w:val="16"/>
    </w:rPr>
  </w:style>
  <w:style w:type="paragraph" w:styleId="FootnoteText">
    <w:name w:val="footnote text"/>
    <w:basedOn w:val="Normal"/>
    <w:pPr/>
    <w:rPr>
      <w:sz w:val="20"/>
      <w:szCs w:val="20"/>
    </w:rPr>
  </w:style>
  <w:style w:type="numbering" w:styleId="Pasdeliste" w:customStyle="1">
    <w:name w:val="Pas de liste"/>
    <w:uiPriority w:val="99"/>
    <w:semiHidden/>
    <w:unhideWhenUsed/>
    <w:qFormat/>
  </w:style>
  <w:style w:type="numbering" w:styleId="NoList1" w:customStyle="1">
    <w:name w:val="No List_1"/>
    <w:qFormat/>
  </w:style>
  <w:style w:type="numbering" w:styleId="WWOutlineListStyle" w:customStyle="1">
    <w:name w:val="WW_OutlineListStyle"/>
    <w:qFormat/>
  </w:style>
  <w:style w:type="numbering" w:styleId="WW8Num1" w:customStyle="1">
    <w:name w:val="WW8Num1"/>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Relationship Id="rId3"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LibreOffice_project/d4d5ed47b6084125f28d269a5650105d54dde034</Application>
  <AppVersion>15.0000</AppVersion>
  <Pages>4</Pages>
  <Words>1535</Words>
  <Characters>8704</Characters>
  <CharactersWithSpaces>10183</CharactersWithSpaces>
  <Paragraphs>103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2026-06-16T15:53:00Z</dcterms:created>
  <dc:creator>FF Util</dc:creator>
  <dc:description/>
  <dc:language>fr-FR</dc:language>
  <cp:lastModifiedBy/>
  <cp:lastPrinted>2113-01-01T00:00:00Z</cp:lastPrinted>
  <dcterms:modified xsi:type="dcterms:W3CDTF">2026-06-23T10:53:46Z</dcterms:modified>
  <cp:revision>4</cp:revision>
  <dc:subject/>
  <dc:title>COMPTE RENDU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Info 1">
    <vt:lpwstr/>
  </property>
  <property fmtid="{D5CDD505-2E9C-101B-9397-08002B2CF9AE}" pid="4" name="Info 2">
    <vt:lpwstr/>
  </property>
  <property fmtid="{D5CDD505-2E9C-101B-9397-08002B2CF9AE}" pid="5" name="Info 3">
    <vt:lpwstr/>
  </property>
  <property fmtid="{D5CDD505-2E9C-101B-9397-08002B2CF9AE}" pid="6" name="Info 4">
    <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