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F5E"/>
          <w:sz w:val="28"/>
          <w:szCs w:val="28"/>
        </w:rPr>
        <w:t xml:space="preserve">ML Pattern Recognition on GWAS/mQTL Data for Cancer Risk Prediction</w:t>
      </w:r>
    </w:p>
    <w:p>
      <w:pPr>
        <w:spacing w:after="30"/>
        <w:jc w:val="center"/>
      </w:pPr>
      <w:r>
        <w:rPr>
          <w:rFonts w:ascii="Arial" w:cs="Arial" w:eastAsia="Arial" w:hAnsi="Arial"/>
          <w:i/>
          <w:iCs/>
          <w:color w:val="64748B"/>
          <w:sz w:val="18"/>
          <w:szCs w:val="18"/>
        </w:rPr>
        <w:t xml:space="preserve">Cotiviti Intern Assessment — Topic 2: Clinical Decision Making and Pattern Recognition in Health Care</w:t>
      </w:r>
    </w:p>
    <w:p>
      <w:pPr>
        <w:spacing w:after="140"/>
        <w:jc w:val="center"/>
      </w:pPr>
      <w:r>
        <w:rPr>
          <w:rFonts w:ascii="Arial" w:cs="Arial" w:eastAsia="Arial" w:hAnsi="Arial"/>
          <w:color w:val="64748B"/>
          <w:sz w:val="18"/>
          <w:szCs w:val="18"/>
        </w:rPr>
        <w:t xml:space="preserve">Bhavya Sevak  ·  M.S. Biomedical Informatics, Arizona State University  ·  June 2026</w:t>
      </w:r>
    </w:p>
    <w:p>
      <w:pPr>
        <w:pBdr>
          <w:bottom w:val="single" w:color="028090" w:sz="4" w:space="1"/>
        </w:pBdr>
        <w:spacing w:after="60" w:before="140"/>
      </w:pPr>
      <w:r>
        <w:rPr>
          <w:rFonts w:ascii="Arial" w:cs="Arial" w:eastAsia="Arial" w:hAnsi="Arial"/>
          <w:b/>
          <w:bCs/>
          <w:color w:val="1A1F5E"/>
          <w:sz w:val="24"/>
          <w:szCs w:val="24"/>
        </w:rPr>
        <w:t xml:space="preserve">1. Topic Definition</w:t>
      </w:r>
    </w:p>
    <w:p>
      <w:pPr>
        <w:spacing w:after="80" w:line="260"/>
      </w:pPr>
      <w:r>
        <w:rPr>
          <w:rFonts w:ascii="Arial" w:cs="Arial" w:eastAsia="Arial" w:hAnsi="Arial"/>
          <w:color w:val="1E293B"/>
          <w:sz w:val="20"/>
          <w:szCs w:val="20"/>
        </w:rPr>
        <w:t xml:space="preserve">Genome-Wide Association Studies (GWAS) systematically scan millions of Single Nucleotide Polymorphisms (SNPs) across large patient cohorts to identify genetic variants statistically associated with complex disease phenotypes, including multiple cancer types. Methylation Quantitative Trait Loci (mQTL) data add a critical epigenetic layer — capturing how germline variants regulate gene expression and drive cancer progression. Machine learning (ML) applied to this integrated signal enables discovery of non-linear polygenic risk architectures that classical linear Polygenic Risk Score (PRS) methods routinely miss.</w:t>
      </w:r>
    </w:p>
    <w:p>
      <w:pPr>
        <w:spacing w:after="80" w:line="260"/>
      </w:pPr>
      <w:r>
        <w:rPr>
          <w:rFonts w:ascii="Arial" w:cs="Arial" w:eastAsia="Arial" w:hAnsi="Arial"/>
          <w:color w:val="1E293B"/>
          <w:sz w:val="20"/>
          <w:szCs w:val="20"/>
        </w:rPr>
        <w:t xml:space="preserve">Three core analytical challenges define this problem: (1) feature selection across millions of correlated variants; (2) modeling epistatic interactions between loci; and (3) translating scores into clinically and operationally actionable outputs. Gradient-boosted ensembles — XGBoost with L1-regularized LASSO shrinkage — outperform logistic regression baselines for colorectal, breast, and gallbladder cancers. An autonomous agentic LLM router can extend this pipeline to trigger downstream Treatment, Payment, and Operations (TPO) actions, directly serving payer analytics platforms.</w:t>
      </w:r>
    </w:p>
    <w:p>
      <w:pPr>
        <w:pBdr>
          <w:bottom w:val="single" w:color="028090" w:sz="4" w:space="1"/>
        </w:pBdr>
        <w:spacing w:after="60" w:before="140"/>
      </w:pPr>
      <w:r>
        <w:rPr>
          <w:rFonts w:ascii="Arial" w:cs="Arial" w:eastAsia="Arial" w:hAnsi="Arial"/>
          <w:b/>
          <w:bCs/>
          <w:color w:val="1A1F5E"/>
          <w:sz w:val="24"/>
          <w:szCs w:val="24"/>
        </w:rPr>
        <w:t xml:space="preserve">2. Relevant Trends</w:t>
      </w:r>
    </w:p>
    <w:p>
      <w:pPr>
        <w:spacing w:after="40" w:before="80"/>
      </w:pPr>
      <w:r>
        <w:rPr>
          <w:rFonts w:ascii="Arial" w:cs="Arial" w:eastAsia="Arial" w:hAnsi="Arial"/>
          <w:b/>
          <w:bCs/>
          <w:color w:val="028090"/>
          <w:sz w:val="20"/>
          <w:szCs w:val="20"/>
        </w:rPr>
        <w:t xml:space="preserve">Genomic Foundation Models</w:t>
      </w:r>
    </w:p>
    <w:p>
      <w:pPr>
        <w:spacing w:after="80" w:line="260"/>
      </w:pPr>
      <w:r>
        <w:rPr>
          <w:rFonts w:ascii="Arial" w:cs="Arial" w:eastAsia="Arial" w:hAnsi="Arial"/>
          <w:color w:val="1E293B"/>
          <w:sz w:val="20"/>
          <w:szCs w:val="20"/>
        </w:rPr>
        <w:t xml:space="preserve">Transformer architectures pre-trained on reference genomes — including the Nucleotide Transformer (62B parameters) and DNABERT-2 — enable zero-shot transfer to sparse mQTL cohorts. This directly addresses the ancestry gap in GWAS PRS, where European-trained scores underperform by 50-80% in Hispanic, Black, and South Asian populations.</w:t>
      </w:r>
    </w:p>
    <w:p>
      <w:pPr>
        <w:spacing w:after="40" w:before="80"/>
      </w:pPr>
      <w:r>
        <w:rPr>
          <w:rFonts w:ascii="Arial" w:cs="Arial" w:eastAsia="Arial" w:hAnsi="Arial"/>
          <w:b/>
          <w:bCs/>
          <w:color w:val="028090"/>
          <w:sz w:val="20"/>
          <w:szCs w:val="20"/>
        </w:rPr>
        <w:t xml:space="preserve">Multi-Omics Integration at Scale</w:t>
      </w:r>
    </w:p>
    <w:p>
      <w:pPr>
        <w:spacing w:after="80" w:line="260"/>
      </w:pPr>
      <w:r>
        <w:rPr>
          <w:rFonts w:ascii="Arial" w:cs="Arial" w:eastAsia="Arial" w:hAnsi="Arial"/>
          <w:color w:val="1E293B"/>
          <w:sz w:val="20"/>
          <w:szCs w:val="20"/>
        </w:rPr>
        <w:t xml:space="preserve">UK Biobank (500,000+ participants), TCGA, and NIH All of Us are releasing multi-ancestry, multi-omics datasets combining SNPs, methylation arrays, RNA-seq, and metabolomics. Cotiviti's longitudinal administrative claims data represents a uniquely valuable complement — linking genomic risk to real-world utilization and outcomes that pure genomics firms cannot access.</w:t>
      </w:r>
    </w:p>
    <w:p>
      <w:pPr>
        <w:spacing w:after="40" w:before="80"/>
      </w:pPr>
      <w:r>
        <w:rPr>
          <w:rFonts w:ascii="Arial" w:cs="Arial" w:eastAsia="Arial" w:hAnsi="Arial"/>
          <w:b/>
          <w:bCs/>
          <w:color w:val="028090"/>
          <w:sz w:val="20"/>
          <w:szCs w:val="20"/>
        </w:rPr>
        <w:t xml:space="preserve">Regulatory and Reimbursement Momentum</w:t>
      </w:r>
    </w:p>
    <w:p>
      <w:pPr>
        <w:spacing w:after="80" w:line="260"/>
      </w:pPr>
      <w:r>
        <w:rPr>
          <w:rFonts w:ascii="Arial" w:cs="Arial" w:eastAsia="Arial" w:hAnsi="Arial"/>
          <w:color w:val="1E293B"/>
          <w:sz w:val="20"/>
          <w:szCs w:val="20"/>
        </w:rPr>
        <w:t xml:space="preserve">The FDA's evolving SaMD framework increasingly covers ML-based genomic risk tools. CMS expanded reimbursement via CPT 81479 and multi-gene panel codes, creating commercial pathways for payer-integrated genomic analytics and reducing go-to-market risk.</w:t>
      </w:r>
    </w:p>
    <w:p>
      <w:r>
        <w:br w:type="page"/>
      </w:r>
    </w:p>
    <w:p>
      <w:pPr>
        <w:pBdr>
          <w:bottom w:val="single" w:color="028090" w:sz="4" w:space="1"/>
        </w:pBdr>
        <w:spacing w:after="60" w:before="140"/>
      </w:pPr>
      <w:r>
        <w:rPr>
          <w:rFonts w:ascii="Arial" w:cs="Arial" w:eastAsia="Arial" w:hAnsi="Arial"/>
          <w:b/>
          <w:bCs/>
          <w:color w:val="1A1F5E"/>
          <w:sz w:val="24"/>
          <w:szCs w:val="24"/>
        </w:rPr>
        <w:t xml:space="preserve">3. Opportunities and Threats</w:t>
      </w:r>
    </w:p>
    <w:p>
      <w:pPr>
        <w:spacing w:after="40" w:before="80"/>
      </w:pPr>
      <w:r>
        <w:rPr>
          <w:rFonts w:ascii="Arial" w:cs="Arial" w:eastAsia="Arial" w:hAnsi="Arial"/>
          <w:b/>
          <w:bCs/>
          <w:color w:val="028090"/>
          <w:sz w:val="20"/>
          <w:szCs w:val="20"/>
        </w:rPr>
        <w:t xml:space="preserve">Opportunities</w:t>
      </w:r>
    </w:p>
    <w:p>
      <w:pPr>
        <w:pStyle w:val="ListParagraph"/>
        <w:numPr>
          <w:ilvl w:val="0"/>
          <w:numId w:val="2"/>
        </w:numPr>
        <w:spacing w:after="50"/>
      </w:pPr>
      <w:r>
        <w:rPr>
          <w:rFonts w:ascii="Arial" w:cs="Arial" w:eastAsia="Arial" w:hAnsi="Arial"/>
          <w:color w:val="1E293B"/>
          <w:sz w:val="20"/>
          <w:szCs w:val="20"/>
        </w:rPr>
        <w:t xml:space="preserve">Population Health Stratification: ML-derived PRS embedded in payer dashboards flag high-risk members before costly oncology claims accrue. Early colorectal cancer intervention reduces average treatment cost by ~60%.</w:t>
      </w:r>
    </w:p>
    <w:p>
      <w:pPr>
        <w:pStyle w:val="ListParagraph"/>
        <w:numPr>
          <w:ilvl w:val="0"/>
          <w:numId w:val="2"/>
        </w:numPr>
        <w:spacing w:after="50"/>
      </w:pPr>
      <w:r>
        <w:rPr>
          <w:rFonts w:ascii="Arial" w:cs="Arial" w:eastAsia="Arial" w:hAnsi="Arial"/>
          <w:color w:val="1E293B"/>
          <w:sz w:val="20"/>
          <w:szCs w:val="20"/>
        </w:rPr>
        <w:t xml:space="preserve">Claims-Biobank Data Moat: Cotiviti's administrative claims linked with biobank genomic data create a proprietary training dataset with real-world outcome labels — a competitive moat no pure genomics firm possesses.</w:t>
      </w:r>
    </w:p>
    <w:p>
      <w:pPr>
        <w:pStyle w:val="ListParagraph"/>
        <w:numPr>
          <w:ilvl w:val="0"/>
          <w:numId w:val="2"/>
        </w:numPr>
        <w:spacing w:after="50"/>
      </w:pPr>
      <w:r>
        <w:rPr>
          <w:rFonts w:ascii="Arial" w:cs="Arial" w:eastAsia="Arial" w:hAnsi="Arial"/>
          <w:color w:val="1E293B"/>
          <w:sz w:val="20"/>
          <w:szCs w:val="20"/>
        </w:rPr>
        <w:t xml:space="preserve">Health Equity Differentiation: Ancestry-aware ML models for underserved cohorts align with CMS equity mandates and NCQA HEDIS metrics, filling a gap competitors are not prioritizing.</w:t>
      </w:r>
    </w:p>
    <w:p>
      <w:pPr>
        <w:pStyle w:val="ListParagraph"/>
        <w:numPr>
          <w:ilvl w:val="0"/>
          <w:numId w:val="2"/>
        </w:numPr>
        <w:spacing w:after="50"/>
      </w:pPr>
      <w:r>
        <w:rPr>
          <w:rFonts w:ascii="Arial" w:cs="Arial" w:eastAsia="Arial" w:hAnsi="Arial"/>
          <w:color w:val="1E293B"/>
          <w:sz w:val="20"/>
          <w:szCs w:val="20"/>
        </w:rPr>
        <w:t xml:space="preserve">Agentic TPO Automation: An LLM router layered on GWAS risk scores autonomously triggers pre-authorization, updates HCC risk-adjustment codes, and assigns billing codes (CPT 81479 / ICD-10 Z80.0) without manual review.</w:t>
      </w:r>
    </w:p>
    <w:p>
      <w:pPr>
        <w:spacing w:after="60"/>
      </w:pPr>
      <w:r>
        <w:t xml:space="preserve"/>
      </w:r>
    </w:p>
    <w:p>
      <w:pPr>
        <w:spacing w:after="40" w:before="80"/>
      </w:pPr>
      <w:r>
        <w:rPr>
          <w:rFonts w:ascii="Arial" w:cs="Arial" w:eastAsia="Arial" w:hAnsi="Arial"/>
          <w:b/>
          <w:bCs/>
          <w:color w:val="028090"/>
          <w:sz w:val="20"/>
          <w:szCs w:val="20"/>
        </w:rPr>
        <w:t xml:space="preserve">Threats</w:t>
      </w:r>
    </w:p>
    <w:p>
      <w:pPr>
        <w:pStyle w:val="ListParagraph"/>
        <w:numPr>
          <w:ilvl w:val="0"/>
          <w:numId w:val="2"/>
        </w:numPr>
        <w:spacing w:after="50"/>
      </w:pPr>
      <w:r>
        <w:rPr>
          <w:rFonts w:ascii="Arial" w:cs="Arial" w:eastAsia="Arial" w:hAnsi="Arial"/>
          <w:color w:val="1E293B"/>
          <w:sz w:val="20"/>
          <w:szCs w:val="20"/>
        </w:rPr>
        <w:t xml:space="preserve">Model Bias Liability: ML models trained on non-diverse cohorts produce elevated false-negative rates in underrepresented populations, creating FDA SaMD liability and CMS audit exposure.</w:t>
      </w:r>
    </w:p>
    <w:p>
      <w:pPr>
        <w:pStyle w:val="ListParagraph"/>
        <w:numPr>
          <w:ilvl w:val="0"/>
          <w:numId w:val="2"/>
        </w:numPr>
        <w:spacing w:after="50"/>
      </w:pPr>
      <w:r>
        <w:rPr>
          <w:rFonts w:ascii="Arial" w:cs="Arial" w:eastAsia="Arial" w:hAnsi="Arial"/>
          <w:color w:val="1E293B"/>
          <w:sz w:val="20"/>
          <w:szCs w:val="20"/>
        </w:rPr>
        <w:t xml:space="preserve">Genomic PHI Complexity: Germline data constitutes sensitive PHI under HIPAA and GINA, requiring robust de-identification, consent architecture, and data use agreements.</w:t>
      </w:r>
    </w:p>
    <w:p>
      <w:pPr>
        <w:pStyle w:val="ListParagraph"/>
        <w:numPr>
          <w:ilvl w:val="0"/>
          <w:numId w:val="2"/>
        </w:numPr>
        <w:spacing w:after="50"/>
      </w:pPr>
      <w:r>
        <w:rPr>
          <w:rFonts w:ascii="Arial" w:cs="Arial" w:eastAsia="Arial" w:hAnsi="Arial"/>
          <w:color w:val="1E293B"/>
          <w:sz w:val="20"/>
          <w:szCs w:val="20"/>
        </w:rPr>
        <w:t xml:space="preserve">Competitive Displacement: Tempus, Foundation Medicine, Illumina DRAGEN, and Epic Genomics are rapidly integrating PRS into clinical workflows, compressing the entry window.</w:t>
      </w:r>
    </w:p>
    <w:p>
      <w:pPr>
        <w:pBdr>
          <w:bottom w:val="single" w:color="028090" w:sz="4" w:space="1"/>
        </w:pBdr>
        <w:spacing w:after="60" w:before="140"/>
      </w:pPr>
      <w:r>
        <w:rPr>
          <w:rFonts w:ascii="Arial" w:cs="Arial" w:eastAsia="Arial" w:hAnsi="Arial"/>
          <w:b/>
          <w:bCs/>
          <w:color w:val="1A1F5E"/>
          <w:sz w:val="24"/>
          <w:szCs w:val="24"/>
        </w:rPr>
        <w:t xml:space="preserve">4. Strategic Recommendations for Cotiviti</w:t>
      </w:r>
    </w:p>
    <w:p>
      <w:pPr>
        <w:spacing w:after="40" w:before="80"/>
      </w:pPr>
      <w:r>
        <w:rPr>
          <w:rFonts w:ascii="Arial" w:cs="Arial" w:eastAsia="Arial" w:hAnsi="Arial"/>
          <w:b/>
          <w:bCs/>
          <w:color w:val="028090"/>
          <w:sz w:val="20"/>
          <w:szCs w:val="20"/>
        </w:rPr>
        <w:t xml:space="preserve">Option A — Recommended (6-12 Months): GWAS-PRS Risk Stratification API</w:t>
      </w:r>
    </w:p>
    <w:p>
      <w:pPr>
        <w:spacing w:after="80" w:line="260"/>
      </w:pPr>
      <w:r>
        <w:rPr>
          <w:rFonts w:ascii="Arial" w:cs="Arial" w:eastAsia="Arial" w:hAnsi="Arial"/>
          <w:color w:val="1E293B"/>
          <w:sz w:val="20"/>
          <w:szCs w:val="20"/>
        </w:rPr>
        <w:t xml:space="preserve">Cotiviti should develop an ancestry-calibrated genomic risk microservice that ingests multi-ancestry SNP arrays, computes XGBoost-based PRS (as demonstrated in this assessment's proof of concept: CV AUC 0.861), and returns structured risk tier outputs for existing population health platforms. Priority indications: colorectal, lung, and breast cancer. A pilot with a payer partner using linked claims-biobank data establishes clinical validity and commercial viability without requiring laboratory infrastructure.</w:t>
      </w:r>
    </w:p>
    <w:p>
      <w:pPr>
        <w:spacing w:after="40" w:before="80"/>
      </w:pPr>
      <w:r>
        <w:rPr>
          <w:rFonts w:ascii="Arial" w:cs="Arial" w:eastAsia="Arial" w:hAnsi="Arial"/>
          <w:b/>
          <w:bCs/>
          <w:color w:val="028090"/>
          <w:sz w:val="20"/>
          <w:szCs w:val="20"/>
        </w:rPr>
        <w:t xml:space="preserve">Option B — Strategic (18-36 Months): mQTL-Informed Agentic CDS</w:t>
      </w:r>
    </w:p>
    <w:p>
      <w:pPr>
        <w:spacing w:after="80" w:line="260"/>
      </w:pPr>
      <w:r>
        <w:rPr>
          <w:rFonts w:ascii="Arial" w:cs="Arial" w:eastAsia="Arial" w:hAnsi="Arial"/>
          <w:color w:val="1E293B"/>
          <w:sz w:val="20"/>
          <w:szCs w:val="20"/>
        </w:rPr>
        <w:t xml:space="preserve">Building on Option A, Cotiviti should partner with consortia (Sangre Por Salud, NIH All of Us) to train multi-omics models integrating GWAS, methylation, and metabolomics data. An autonomous agentic router — demonstrated in this assessment using Llama 3.3 via Groq API — can be deployed as FHIR CDS Hooks in EHR workflows, autonomously routing Treatment, Payment, and Operations actions based on patient risk tier, ancestry, and clinical context. This creates a defensible multi-agent analytics moat.</w:t>
      </w:r>
    </w:p>
    <w:p>
      <w:pPr>
        <w:spacing w:after="80"/>
      </w:pPr>
      <w:r>
        <w:t xml:space="preserve"/>
      </w:r>
    </w:p>
    <w:p>
      <w:pPr>
        <w:spacing w:after="80" w:line="260"/>
      </w:pPr>
      <w:r>
        <w:rPr>
          <w:rFonts w:ascii="Arial" w:cs="Arial" w:eastAsia="Arial" w:hAnsi="Arial"/>
          <w:b/>
          <w:bCs/>
          <w:color w:val="1E293B"/>
          <w:sz w:val="20"/>
          <w:szCs w:val="20"/>
        </w:rPr>
        <w:t xml:space="preserve">Both options require: </w:t>
      </w:r>
      <w:r>
        <w:rPr>
          <w:rFonts w:ascii="Arial" w:cs="Arial" w:eastAsia="Arial" w:hAnsi="Arial"/>
          <w:b w:val="false"/>
          <w:bCs w:val="false"/>
          <w:color w:val="1E293B"/>
          <w:sz w:val="20"/>
          <w:szCs w:val="20"/>
        </w:rPr>
        <w:t xml:space="preserve">a FHIR-compatible genomic data ingestion layer and an MLOps pipeline for continuous model monitoring under FDA AI/ML SaMD guidance. </w:t>
      </w:r>
      <w:r>
        <w:rPr>
          <w:rFonts w:ascii="Arial" w:cs="Arial" w:eastAsia="Arial" w:hAnsi="Arial"/>
          <w:b w:val="false"/>
          <w:bCs w:val="false"/>
          <w:color w:val="1E293B"/>
          <w:sz w:val="20"/>
          <w:szCs w:val="20"/>
        </w:rPr>
        <w:t xml:space="preserve">Cotiviti should launch Option A to establish market presence and fund Option B's deeper research integration.</w:t>
      </w:r>
    </w:p>
    <w:p>
      <w:r>
        <w:br w:type="page"/>
      </w:r>
    </w:p>
    <w:p>
      <w:pPr>
        <w:pBdr>
          <w:bottom w:val="single" w:color="028090" w:sz="4" w:space="1"/>
        </w:pBdr>
        <w:spacing w:after="60" w:before="140"/>
      </w:pPr>
      <w:r>
        <w:rPr>
          <w:rFonts w:ascii="Arial" w:cs="Arial" w:eastAsia="Arial" w:hAnsi="Arial"/>
          <w:b/>
          <w:bCs/>
          <w:color w:val="1A1F5E"/>
          <w:sz w:val="24"/>
          <w:szCs w:val="24"/>
        </w:rPr>
        <w:t xml:space="preserve">References</w:t>
      </w:r>
    </w:p>
    <w:p>
      <w:pPr>
        <w:spacing w:after="60"/>
      </w:pPr>
      <w:r>
        <w:rPr>
          <w:rFonts w:ascii="Arial" w:cs="Arial" w:eastAsia="Arial" w:hAnsi="Arial"/>
          <w:i/>
          <w:iCs/>
          <w:color w:val="64748B"/>
          <w:sz w:val="20"/>
          <w:szCs w:val="20"/>
        </w:rPr>
        <w:t xml:space="preserve">APA Format</w:t>
      </w:r>
    </w:p>
    <w:p>
      <w:pPr>
        <w:spacing w:after="100"/>
        <w:ind w:left="480" w:hanging="480"/>
      </w:pPr>
      <w:r>
        <w:rPr>
          <w:rFonts w:ascii="Arial" w:cs="Arial" w:eastAsia="Arial" w:hAnsi="Arial"/>
          <w:color w:val="1E293B"/>
          <w:sz w:val="19"/>
          <w:szCs w:val="19"/>
        </w:rPr>
        <w:t xml:space="preserve">Bycroft, C., Freeman, C., Petkova, D., Band, G., Elliott, L. T., Sharp, K., &amp; Marchini, J. (2018). The UK Biobank resource with deep phenotyping and genomic data. Nature, 562(7726), 203–209. https://doi.org/10.1038/s41586-018-0579-z</w:t>
      </w:r>
    </w:p>
    <w:p>
      <w:pPr>
        <w:spacing w:after="100"/>
        <w:ind w:left="480" w:hanging="480"/>
      </w:pPr>
      <w:r>
        <w:rPr>
          <w:rFonts w:ascii="Arial" w:cs="Arial" w:eastAsia="Arial" w:hAnsi="Arial"/>
          <w:color w:val="1E293B"/>
          <w:sz w:val="19"/>
          <w:szCs w:val="19"/>
        </w:rPr>
        <w:t xml:space="preserve">Choi, S. W., Mak, T. S. H., &amp; O'Reilly, P. F. (2020). Tutorial: A guide to performing polygenic risk score analyses. Nature Protocols, 15(9), 2759–2772. https://doi.org/10.1038/s41596-020-0353-1</w:t>
      </w:r>
    </w:p>
    <w:p>
      <w:pPr>
        <w:spacing w:after="100"/>
        <w:ind w:left="480" w:hanging="480"/>
      </w:pPr>
      <w:r>
        <w:rPr>
          <w:rFonts w:ascii="Arial" w:cs="Arial" w:eastAsia="Arial" w:hAnsi="Arial"/>
          <w:color w:val="1E293B"/>
          <w:sz w:val="19"/>
          <w:szCs w:val="19"/>
        </w:rPr>
        <w:t xml:space="preserve">Eraslan, G., Avsec, Z., Gagneur, J., &amp; Theis, F. J. (2019). Deep learning: New computational modelling techniques for genomics. Nature Reviews Genetics, 20(7), 389–403. https://doi.org/10.1038/s41576-019-0122-6</w:t>
      </w:r>
    </w:p>
    <w:p>
      <w:pPr>
        <w:spacing w:after="100"/>
        <w:ind w:left="480" w:hanging="480"/>
      </w:pPr>
      <w:r>
        <w:rPr>
          <w:rFonts w:ascii="Arial" w:cs="Arial" w:eastAsia="Arial" w:hAnsi="Arial"/>
          <w:color w:val="1E293B"/>
          <w:sz w:val="19"/>
          <w:szCs w:val="19"/>
        </w:rPr>
        <w:t xml:space="preserve">Khera, A. V., Chaffin, M., Aragam, K. G., Haas, M. E., Roselli, C., Choi, S. H., &amp; Kathiresan, S. (2018). Genome-wide polygenic scores for common diseases identify individuals with risk equivalent to monogenic mutations. Nature Genetics, 50(9), 1219–1224. https://doi.org/10.1038/s41588-018-0183-z</w:t>
      </w:r>
    </w:p>
    <w:p>
      <w:pPr>
        <w:spacing w:after="100"/>
        <w:ind w:left="480" w:hanging="480"/>
      </w:pPr>
      <w:r>
        <w:rPr>
          <w:rFonts w:ascii="Arial" w:cs="Arial" w:eastAsia="Arial" w:hAnsi="Arial"/>
          <w:color w:val="1E293B"/>
          <w:sz w:val="19"/>
          <w:szCs w:val="19"/>
        </w:rPr>
        <w:t xml:space="preserve">Martin, A. R., Kanai, M., Kamatani, Y., Okada, Y., Neale, B. M., &amp; Daly, M. J. (2019). Clinical use of current polygenic risk scores may exacerbate health disparities. Nature Genetics, 51(4), 584–591. https://doi.org/10.1038/s41588-019-0379-x</w:t>
      </w:r>
    </w:p>
    <w:p>
      <w:pPr>
        <w:spacing w:after="100"/>
        <w:ind w:left="480" w:hanging="480"/>
      </w:pPr>
      <w:r>
        <w:rPr>
          <w:rFonts w:ascii="Arial" w:cs="Arial" w:eastAsia="Arial" w:hAnsi="Arial"/>
          <w:color w:val="1E293B"/>
          <w:sz w:val="19"/>
          <w:szCs w:val="19"/>
        </w:rPr>
        <w:t xml:space="preserve">Meng, X. H., Xu, X. J., &amp; Deng, H. W. (2020). Machine learning in genome-wide association studies. Genes, 11(9), 1059. https://doi.org/10.3390/genes11091059</w:t>
      </w:r>
    </w:p>
    <w:p>
      <w:pPr>
        <w:spacing w:after="100"/>
        <w:ind w:left="480" w:hanging="480"/>
      </w:pPr>
      <w:r>
        <w:rPr>
          <w:rFonts w:ascii="Arial" w:cs="Arial" w:eastAsia="Arial" w:hAnsi="Arial"/>
          <w:color w:val="1E293B"/>
          <w:sz w:val="19"/>
          <w:szCs w:val="19"/>
        </w:rPr>
        <w:t xml:space="preserve">National Human Genome Research Institute. (2024). Genome-wide association studies fact sheet. NIH. https://www.genome.gov/about-genomics/fact-sheets/Genome-Wide-Association-Studies-Fact-Sheet</w:t>
      </w:r>
    </w:p>
    <w:p>
      <w:pPr>
        <w:spacing w:after="100"/>
        <w:ind w:left="480" w:hanging="480"/>
      </w:pPr>
      <w:r>
        <w:rPr>
          <w:rFonts w:ascii="Arial" w:cs="Arial" w:eastAsia="Arial" w:hAnsi="Arial"/>
          <w:color w:val="1E293B"/>
          <w:sz w:val="19"/>
          <w:szCs w:val="19"/>
        </w:rPr>
        <w:t xml:space="preserve">Reel, P. S., Reel, S., Pearson, E., Trucco, E., &amp; Jefferson, E. (2021). Using machine learning approaches for multi-omics data analysis: A review. Biotechnology Advances, 49, 107739. https://doi.org/10.1016/j.biotechadv.2021.107739</w:t>
      </w:r>
    </w:p>
    <w:p>
      <w:pPr>
        <w:spacing w:after="100"/>
        <w:ind w:left="480" w:hanging="480"/>
      </w:pPr>
      <w:r>
        <w:rPr>
          <w:rFonts w:ascii="Arial" w:cs="Arial" w:eastAsia="Arial" w:hAnsi="Arial"/>
          <w:color w:val="1E293B"/>
          <w:sz w:val="19"/>
          <w:szCs w:val="19"/>
        </w:rPr>
        <w:t xml:space="preserve">U.S. Food and Drug Administration. (2021). Artificial intelligence/machine learning (AI/ML)-based software as a medical device (SaMD) action plan. FDA. https://www.fda.gov/media/145022/download</w:t>
      </w:r>
    </w:p>
    <w:p>
      <w:pPr>
        <w:spacing w:after="100"/>
        <w:ind w:left="480" w:hanging="480"/>
      </w:pPr>
      <w:r>
        <w:rPr>
          <w:rFonts w:ascii="Arial" w:cs="Arial" w:eastAsia="Arial" w:hAnsi="Arial"/>
          <w:color w:val="1E293B"/>
          <w:sz w:val="19"/>
          <w:szCs w:val="19"/>
        </w:rPr>
        <w:t xml:space="preserve">Wainberg, M., Merico, D., Delong, A., &amp; Frey, B. J. (2018). Deep learning in biomedicine. Nature Biotechnology, 36(9), 829–838. https://doi.org/10.1038/nbt.4233</w:t>
      </w:r>
    </w:p>
    <w:p>
      <w:pPr>
        <w:spacing w:after="100"/>
        <w:ind w:left="480" w:hanging="480"/>
      </w:pPr>
      <w:r>
        <w:rPr>
          <w:rFonts w:ascii="Arial" w:cs="Arial" w:eastAsia="Arial" w:hAnsi="Arial"/>
          <w:color w:val="1E293B"/>
          <w:sz w:val="19"/>
          <w:szCs w:val="19"/>
        </w:rPr>
        <w:t xml:space="preserve">Dalla-Torre, H., Gonzalez, L., Mendoza-Revilla, J., Carranza, N. L., Grzywaczewski, A. H., Oteri, F., &amp; Richard, G. (2023). The Nucleotide Transformer: Building and evaluating robust foundation models for human genomics. bioRxiv. https://doi.org/10.1101/2023.01.11.523679</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2026-06-27T02:32:02.670Z</dcterms:created>
  <dcterms:modified xsi:type="dcterms:W3CDTF">2026-06-27T02:32:02.670Z</dcterms:modified>
</cp:coreProperties>
</file>

<file path=docProps/custom.xml><?xml version="1.0" encoding="utf-8"?>
<Properties xmlns="http://schemas.openxmlformats.org/officeDocument/2006/custom-properties" xmlns:vt="http://schemas.openxmlformats.org/officeDocument/2006/docPropsVTypes"/>
</file>