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8275B"/>
          <w:sz w:val="40"/>
          <w:szCs w:val="40"/>
        </w:rPr>
        <w:t xml:space="preserve">ML Pattern Recognition on GWAS/mQTL Data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28275B"/>
          <w:sz w:val="40"/>
          <w:szCs w:val="40"/>
        </w:rPr>
        <w:t xml:space="preserve">for Cancer Risk Prediction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Strategic Analysis for Cotiviti</w:t>
      </w:r>
    </w:p>
    <w:p>
      <w:pPr>
        <w:spacing w:after="24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Bhavya Sevak | Arizona State University | June 2026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8275B"/>
          <w:sz w:val="32"/>
          <w:szCs w:val="32"/>
        </w:rPr>
        <w:t xml:space="preserve">1. Defining the Topic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Genome-Wide Association Studies (GWAS) identify single-nucleotide polymorphisms (SNPs) statistically associated with disease phenotypes across large population cohorts. When integrated with methylation Quantitative Trait Loci (mQTL) data — which capture how genetic variants regulate epigenetic methylation patterns — these datasets create a multi-layered genomic signal that is particularly informative for cancer predisposition research. Machine learning (ML) pattern recognition applied to this integrated data enables discovery of non-linear polygenic risk architectures that classical statistical approaches miss.</w:t>
      </w:r>
    </w:p>
    <w:p>
      <w:pPr>
        <w:spacing w:after="100"/>
      </w:pP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Cancer risk prediction from GWAS/mQTL data involves three interrelated analytical challenges: (1) feature selection across millions of genetic variants, (2) modeling epistatic interactions between loci, and (3) translating polygenic risk scores (PRS) into clinically actionable outputs. ML approaches — spanning gradient-boosted trees, deep learning, and attention-based architectures — have demonstrated superior discriminative performance over logistic regression baselines in predicting risk for colorectal, breast, prostate, and gallbladder cancers, particularly in diverse non-European ancestry cohorts where traditional PRS are underperforming.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8275B"/>
          <w:sz w:val="32"/>
          <w:szCs w:val="32"/>
        </w:rPr>
        <w:t xml:space="preserve">2. Relevant Trends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2.1 Foundation Models for Genomics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Large-scale genomic foundation models (e.g., Enformer, Nucleotide Transformer, DNABERT-2) pre-trained on reference genome sequences are being fine-tuned for downstream cancer risk tasks. These transformer-based architectures learn contextual embeddings of regulatory sequences, enabling zero-shot transfer to sparse mQTL datasets — a critical advantage when cohort sizes for understudied populations (e.g., Hispanic/Latino, South Asian) are limited.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2.2 Multi-Omics Integration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The field is shifting from single-omics GWAS toward integrated multi-omics risk modeling, combining germline SNPs, somatic mutations, methylation arrays (EPIC v2), gene expression (RNA-seq), and metabolomics. Platforms like TCGA, UK Biobank, and All of Us are releasing multi-ancestry, multi-omics datasets at scale. Cotiviti's payer and provider claims data could be a high-value complement, linking genomic risk scores to longitudinal healthcare utilization and treatment outcomes.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2.3 Regulatory and Reimbursement Landscape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The FDA's evolving framework for AI/ML-based Software as a Medical Device (SaMD) increasingly covers genomic risk prediction tools. CMS has expanded reimbursement pathways (CPT 81479 and panel codes) for multi-gene cancer panels, creating revenue incentives for health plans and labs that operationalize validated polygenic risk scores in clinical workflows.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8275B"/>
          <w:sz w:val="32"/>
          <w:szCs w:val="32"/>
        </w:rPr>
        <w:t xml:space="preserve">3. Opportunities and Threats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Opportunities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Population Health Risk Stratification: Cotiviti can embed ML-derived PRS into population health management dashboards, enabling payers to identify high-risk members for proactive screening outreach before claims accrue.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Value-Based Care Alignment: Genomic risk prediction supports pre-authorization and care management workflows; integrating GWAS-based signals reduces downstream oncology costs through early intervention.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Health Equity Differentiation: Developing ancestry-aware ML risk models for underserved cohorts (Hispanic, Black, Indigenous) addresses a known industry gap and aligns with CMS equity mandates and NCQA HEDIS metrics.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Data Asset Monetization: Cotiviti's claims and clinical data assets can be linked with biobank partners to build proprietary training datasets for cancer risk models with real-world outcome labels.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Threats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Model Bias and Regulatory Risk: ML models trained on non-diverse cohorts may underperform in specific populations, creating liability exposure and FDA scrutiny under evolving AI/ML SaMD guidance.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Data Privacy and HIPAA Compliance: Handling germline genomic data creates heightened PHI obligations; linking genomic and claims records requires robust de-identification and consent frameworks.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Competitive Displacement: Genomic analytics firms (Tempus, Foundation Medicine, Illumina DRAGEN) and EHR vendors (Epic Genomics, Veracyte) are rapidly integrating PRS into clinical decision support, compressing the window for a differentiated Cotiviti entry.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Reimbursement Uncertainty: Coverage policies for genomic risk tools remain inconsistent across payers, limiting scalable commercial deployment.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8275B"/>
          <w:sz w:val="32"/>
          <w:szCs w:val="32"/>
        </w:rPr>
        <w:t xml:space="preserve">4. Strategic Recommendations for Cotiviti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Option A: GWAS-PRS Risk Stratification API (Recommended)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Cotiviti should develop a genomic risk stratification microservice that ingests multi-ancestry SNP arrays, computes ancestry-aware polygenic risk scores using ML-calibrated LDpred2/PRSice pipelines, and returns risk tier outputs consumable by existing population health platforms. Priority cancer types: colorectal, lung, and breast (highest GWAS evidence base and reimbursement coverage). Pilot with a payer partner using a linked claims-biobank cohort. This positions Cotiviti as a genomics-informed analytics vendor without requiring lab infrastructure.</w:t>
      </w: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Option B: mQTL-Informed Clinical Decision Support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Partner with academic medical centers or biobank consortia (e.g., Sangre Por Salud, All of Us) to train XGBoost or attention-based ML models on integrated GWAS + methylation + metabolomics data. Deploy predictions as CDS hooks within EHR workflows, triggering screening alerts and care gap notifications. This is a longer-horizon play (18-36 months) but creates a defensible, proprietary data moat.</w:t>
      </w:r>
    </w:p>
    <w:p>
      <w:pPr>
        <w:spacing w:after="120"/>
      </w:pP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Both options share a common infrastructure requirement: a FHIR-compatible genomic data ingestion layer and a MLOps pipeline for continuous model monitoring under FDA AI/ML SaMD proposed guidelines. Cotiviti should begin with Option A to establish market presence and fund Option B through partnership revenue.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8275B"/>
          <w:sz w:val="32"/>
          <w:szCs w:val="32"/>
        </w:rPr>
        <w:t xml:space="preserve">Bibliography</w:t>
      </w:r>
    </w:p>
    <w:p>
      <w:pPr>
        <w:spacing w:after="100"/>
      </w:pPr>
      <w:r>
        <w:rPr>
          <w:rFonts w:ascii="Arial" w:cs="Arial" w:eastAsia="Arial" w:hAnsi="Arial"/>
          <w:b/>
          <w:bCs/>
          <w:i/>
          <w:iCs/>
          <w:sz w:val="24"/>
          <w:szCs w:val="24"/>
        </w:rPr>
        <w:t xml:space="preserve">APA Format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Bycroft, C., Freeman, C., Petkova, D., Band, G., Elliott, L. T., Sharp, K., ... &amp; Marchini, J. (2018). The UK Biobank resource with deep phenotyping and genomic data. Nature, 562(7726), 203-209. https://doi.org/10.1038/s41586-018-0579-z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Choi, S. W., Mak, T. S. H., &amp; O'Reilly, P. F. (2020). Tutorial: A guide to performing polygenic risk score analyses. Nature Protocols, 15(9), 2759-2772. https://doi.org/10.1038/s41596-020-0353-1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Eraslan, G., Avsec, Z., Gagneur, J., &amp; Theis, F. J. (2019). Deep learning: New computational modelling techniques for genomics. Nature Reviews Genetics, 20(7), 389-403. https://doi.org/10.1038/s41576-019-0122-6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Khera, A. V., Chaffin, M., Aragam, K. G., Haas, M. E., Roselli, C., Choi, S. H., ... &amp; Kathiresan, S. (2018). Genome-wide polygenic scores for common diseases identify individuals with risk equivalent to monogenic mutations. Nature Genetics, 50(9), 1219-1224. https://doi.org/10.1038/s41588-018-0183-z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Martin, A. R., Kanai, M., Kamatani, Y., Okada, Y., Neale, B. M., &amp; Daly, M. J. (2019). Clinical use of current polygenic risk scores may exacerbate health disparities. Nature Genetics, 51(4), 584-591. https://doi.org/10.1038/s41588-019-0379-x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Meng, X. H., Xu, X. J., &amp; Deng, H. W. (2020). Machine learning in genome-wide association studies. Genes, 11(9), 1059. https://doi.org/10.3390/genes11091059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National Human Genome Research Institute. (2024). Genome-wide association studies fact sheet. NIH. https://www.genome.gov/about-genomics/fact-sheets/Genome-Wide-Association-Studies-Fact-Sheet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Price, A. L., Zaitlen, N. A., Reich, D., &amp; Patterson, N. (2010). New approaches to population stratification in genome-wide association studies. Nature Reviews Genetics, 11(7), 459-463. https://doi.org/10.1038/nrg2813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Reel, P. S., Reel, S., Pearson, E., Trucco, E., &amp; Jefferson, E. (2021). Using machine learning approaches for multi-omics data analysis: A review. Biotechnology Advances, 49, 107739. https://doi.org/10.1016/j.biotechadv.2021.107739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U.S. Food and Drug Administration. (2021). Artificial intelligence/machine learning (AI/ML)-based software as a medical device (SaMD) action plan. FDA. https://www.fda.gov/media/145022/download</w:t>
      </w:r>
    </w:p>
    <w:p>
      <w:pPr>
        <w:spacing w:after="140"/>
      </w:pPr>
      <w:r>
        <w:rPr>
          <w:rFonts w:ascii="Arial" w:cs="Arial" w:eastAsia="Arial" w:hAnsi="Arial"/>
          <w:sz w:val="24"/>
          <w:szCs w:val="24"/>
        </w:rPr>
        <w:t xml:space="preserve">Wainberg, M., Merico, D., Delong, A., &amp; Frey, B. J. (2018). Deep learning in biomedicine. Nature Biotechnology, 36(9), 829-838. https://doi.org/10.1038/nbt.4233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2026-06-26T02:07:47.457Z</dcterms:created>
  <dcterms:modified xsi:type="dcterms:W3CDTF">2026-06-26T02:07:47.457Z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