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Rule="auto"/>
        <w:jc w:val="center"/>
        <w:rPr>
          <w:rFonts w:ascii="Arial" w:cs="Arial" w:eastAsia="Arial" w:hAnsi="Arial"/>
          <w:color w:val="1a1f5e"/>
        </w:rPr>
      </w:pPr>
      <w:r w:rsidDel="00000000" w:rsidR="00000000" w:rsidRPr="00000000">
        <w:rPr>
          <w:rFonts w:ascii="Arial" w:cs="Arial" w:eastAsia="Arial" w:hAnsi="Arial"/>
          <w:color w:val="1a1f5e"/>
          <w:rtl w:val="0"/>
        </w:rPr>
        <w:t xml:space="preserve">ML Pattern Recognition on GWAS/mQTL Data for Cancer Risk Prediction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64748b"/>
          <w:sz w:val="22"/>
          <w:szCs w:val="22"/>
        </w:rPr>
      </w:pPr>
      <w:r w:rsidDel="00000000" w:rsidR="00000000" w:rsidRPr="00000000">
        <w:rPr>
          <w:rFonts w:ascii="Arial" w:cs="Arial" w:eastAsia="Arial" w:hAnsi="Arial"/>
          <w:b w:val="1"/>
          <w:bCs w:val="1"/>
          <w:color w:val="64748b"/>
          <w:sz w:val="22"/>
          <w:szCs w:val="22"/>
          <w:rtl w:val="0"/>
        </w:rPr>
        <w:t xml:space="preserve">Strategic Analysis for Cotiviti — Intern Assessment Performance Screening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Author:</w:t>
      </w:r>
      <w:r w:rsidDel="00000000" w:rsidR="00000000" w:rsidRPr="00000000">
        <w:rPr>
          <w:rFonts w:ascii="Arial" w:cs="Arial" w:eastAsia="Arial" w:hAnsi="Arial"/>
          <w:sz w:val="22"/>
          <w:szCs w:val="22"/>
          <w:rtl w:val="0"/>
        </w:rPr>
        <w:t xml:space="preserve"> Bhavya Sevak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Affiliation:</w:t>
      </w:r>
      <w:r w:rsidDel="00000000" w:rsidR="00000000" w:rsidRPr="00000000">
        <w:rPr>
          <w:rFonts w:ascii="Arial" w:cs="Arial" w:eastAsia="Arial" w:hAnsi="Arial"/>
          <w:sz w:val="22"/>
          <w:szCs w:val="22"/>
          <w:rtl w:val="0"/>
        </w:rPr>
        <w:t xml:space="preserve"> Master of Science in Biomedical Informatics, Arizona State University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Topic:</w:t>
      </w:r>
      <w:r w:rsidDel="00000000" w:rsidR="00000000" w:rsidRPr="00000000">
        <w:rPr>
          <w:rFonts w:ascii="Arial" w:cs="Arial" w:eastAsia="Arial" w:hAnsi="Arial"/>
          <w:sz w:val="22"/>
          <w:szCs w:val="22"/>
          <w:rtl w:val="0"/>
        </w:rPr>
        <w:t xml:space="preserve"> Clinical Decision Making and Pattern Recognition in Health Care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Fonts w:ascii="Arial" w:cs="Arial" w:eastAsia="Arial" w:hAnsi="Arial"/>
          <w:sz w:val="22"/>
          <w:szCs w:val="22"/>
          <w:rtl w:val="0"/>
        </w:rPr>
        <w:t xml:space="preserve"> June 2026</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70" w:before="0" w:lineRule="auto"/>
        <w:rPr>
          <w:rFonts w:ascii="Arial" w:cs="Arial" w:eastAsia="Arial" w:hAnsi="Arial"/>
          <w:color w:val="1a1f5e"/>
        </w:rPr>
      </w:pPr>
      <w:r w:rsidDel="00000000" w:rsidR="00000000" w:rsidRPr="00000000">
        <w:rPr>
          <w:rFonts w:ascii="Arial" w:cs="Arial" w:eastAsia="Arial" w:hAnsi="Arial"/>
          <w:color w:val="1a1f5e"/>
          <w:rtl w:val="0"/>
        </w:rPr>
        <w:t xml:space="preserve">1. Defining the Topic &amp; Analytical Concept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2"/>
          <w:szCs w:val="22"/>
          <w:rtl w:val="0"/>
        </w:rPr>
        <w:t xml:space="preserve">Genome-Wide Association Studies (GWAS) identify single-nucleotide polymorphisms (SNPs) statistically associated with disease phenotypes across large population cohorts. When integrated with methylation Quantitative Trait Loci (mQTL) data — which capture how genetic variants regulate epigenetic methylation patterns — these datasets create a multi-layered genomic signal that is particularly informative for cancer predisposition research. Machine learning (ML) pattern recognition applied to this integrated data enables discovery of non-linear polygenic risk architectures that classical additive statistical approaches miss.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0" w:line="275.9999942779541"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Cancer risk prediction from GWAS/mQTL data involves three interrelated analytical challenges: feature selection across millions of genetic variants, modeling epistatic interactions between loci, and translating polygenic risk scores (PRS) into clinically actionable outputs. Advanced machine learning approaches — spanning gradient-boosted trees, deep learning, and attention-based architectures — have demonstrated superior discriminative performance over standard logistic regression baselines in predicting risk for colorectal, lung, breast, and prostate cancers. Crucially, these frameworks mitigate performance drops in diverse non-European ancestry cohorts where traditional PRS architectures underperform due to severe baseline population stratification biases.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70" w:before="0" w:lineRule="auto"/>
        <w:rPr>
          <w:rFonts w:ascii="Arial" w:cs="Arial" w:eastAsia="Arial" w:hAnsi="Arial"/>
          <w:color w:val="1a1f5e"/>
        </w:rPr>
      </w:pPr>
      <w:r w:rsidDel="00000000" w:rsidR="00000000" w:rsidRPr="00000000">
        <w:rPr>
          <w:rFonts w:ascii="Arial" w:cs="Arial" w:eastAsia="Arial" w:hAnsi="Arial"/>
          <w:color w:val="1a1f5e"/>
          <w:rtl w:val="0"/>
        </w:rPr>
        <w:t xml:space="preserve">2. Relevant Healthcare and Technological Trends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2"/>
          <w:szCs w:val="22"/>
          <w:rtl w:val="0"/>
        </w:rPr>
        <w:t xml:space="preserve">The operational landscape of biomedical informatics is undergoing a profound shift driven by rapid technical acceleration across three main vectors: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sz w:val="22"/>
          <w:szCs w:val="22"/>
          <w:rtl w:val="0"/>
        </w:rPr>
        <w:t xml:space="preserve">Genomic Foundation Models:</w:t>
      </w:r>
      <w:r w:rsidDel="00000000" w:rsidR="00000000" w:rsidRPr="00000000">
        <w:rPr>
          <w:rFonts w:ascii="Arial" w:cs="Arial" w:eastAsia="Arial" w:hAnsi="Arial"/>
          <w:sz w:val="22"/>
          <w:szCs w:val="22"/>
          <w:rtl w:val="0"/>
        </w:rPr>
        <w:t xml:space="preserve"> Large-scale genomic foundation models (e.g., Enformer, Nucleotide Transformer, DNABERT-2) pre-trained on multi-billion-parameter reference genome sequences are being fine-tuned for downstream risk prediction. These transformer-based architectures learn rich contextual embeddings of regulatory sequences, enabling zero-shot transfer to sparse mQTL datasets — a critical operational advantage when cohort sizes for historically understudied populations are limited.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sz w:val="22"/>
          <w:szCs w:val="22"/>
          <w:rtl w:val="0"/>
        </w:rPr>
        <w:t xml:space="preserve">Multi-Omics Integration and Population Registries:</w:t>
      </w:r>
      <w:r w:rsidDel="00000000" w:rsidR="00000000" w:rsidRPr="00000000">
        <w:rPr>
          <w:rFonts w:ascii="Arial" w:cs="Arial" w:eastAsia="Arial" w:hAnsi="Arial"/>
          <w:sz w:val="22"/>
          <w:szCs w:val="22"/>
          <w:rtl w:val="0"/>
        </w:rPr>
        <w:t xml:space="preserve"> The field is shifting rapidly from single-omics GWAS toward integrated multi-omics risk modeling, combining germline SNPs, somatic mutations, methylation arrays (EPIC v2), gene expression (RNA-seq), and metabolomics. Large population biobanks (e.g., UK Biobank, All of Us) are releasing multi-ancestry, multi-omics datasets at an unprecedented scale, providing the deep clinical registries necessary to train non-linear models.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sz w:val="22"/>
          <w:szCs w:val="22"/>
          <w:rtl w:val="0"/>
        </w:rPr>
        <w:t xml:space="preserve">Regulatory Expansion and Reimbursement Pathways:</w:t>
      </w:r>
      <w:r w:rsidDel="00000000" w:rsidR="00000000" w:rsidRPr="00000000">
        <w:rPr>
          <w:rFonts w:ascii="Arial" w:cs="Arial" w:eastAsia="Arial" w:hAnsi="Arial"/>
          <w:sz w:val="22"/>
          <w:szCs w:val="22"/>
          <w:rtl w:val="0"/>
        </w:rPr>
        <w:t xml:space="preserve"> The FDA’s evolving framework for Artificial Intelligence/Machine Learning-based Software as a Medical Device (SaMD) increasingly covers genomic risk evaluation tools. Concurrently, the Centers for Medicare &amp; Medicaid Services (CMS) has expanded reimbursement pathways via specific CPT codes (e.g., CPT 81479 and complex panel codes) for multi-gene cancer panels. This creates substantial financial and operational revenue incentives for health plans, risk-bearing providers, and laboratories to directly integrate validated polygenic risk scores into standardized clinical workflows.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70" w:before="300" w:lineRule="auto"/>
        <w:rPr>
          <w:rFonts w:ascii="Arial" w:cs="Arial" w:eastAsia="Arial" w:hAnsi="Arial"/>
          <w:color w:val="1a1f5e"/>
        </w:rPr>
      </w:pPr>
      <w:r w:rsidDel="00000000" w:rsidR="00000000" w:rsidRPr="00000000">
        <w:rPr>
          <w:rFonts w:ascii="Arial" w:cs="Arial" w:eastAsia="Arial" w:hAnsi="Arial"/>
          <w:color w:val="1a1f5e"/>
          <w:rtl w:val="0"/>
        </w:rPr>
        <w:t xml:space="preserve">3. Strategic Opportunities and Threats for Cotiviti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jc w:val="both"/>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2"/>
          <w:szCs w:val="22"/>
          <w:rtl w:val="0"/>
        </w:rPr>
        <w:t xml:space="preserve">As a market leader in healthcare analytics, payment integrity, and population health, Cotiviti faces unique strategic dynamics regarding genomic data integration.</w:t>
      </w:r>
    </w:p>
    <w:tbl>
      <w:tblPr>
        <w:tblStyle w:val="Table1"/>
        <w:tblW w:w="9360.0" w:type="dxa"/>
        <w:jc w:val="left"/>
        <w:tblBorders>
          <w:top w:color="64748b" w:space="0" w:sz="6" w:val="single"/>
          <w:left w:color="64748b" w:space="0" w:sz="6" w:val="single"/>
          <w:bottom w:color="64748b" w:space="0" w:sz="6" w:val="single"/>
          <w:right w:color="64748b" w:space="0" w:sz="6" w:val="single"/>
          <w:insideH w:color="64748b" w:space="0" w:sz="6" w:val="single"/>
          <w:insideV w:color="64748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64748b" w:space="0" w:sz="6" w:val="single"/>
              <w:left w:color="64748b" w:space="0" w:sz="6" w:val="single"/>
              <w:bottom w:color="64748b" w:space="0" w:sz="6" w:val="single"/>
              <w:right w:color="64748b" w:space="0" w:sz="6" w:val="single"/>
            </w:tcBorders>
            <w:shd w:fill="1a1f5e"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Strategic Opportunities</w:t>
            </w:r>
          </w:p>
        </w:tc>
        <w:tc>
          <w:tcPr>
            <w:tcBorders>
              <w:top w:color="64748b" w:space="0" w:sz="6" w:val="single"/>
              <w:left w:color="64748b" w:space="0" w:sz="6" w:val="single"/>
              <w:bottom w:color="64748b" w:space="0" w:sz="6" w:val="single"/>
              <w:right w:color="64748b" w:space="0" w:sz="6" w:val="single"/>
            </w:tcBorders>
            <w:shd w:fill="1a1f5e"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Threats &amp; Operational Barriers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64748b" w:space="0" w:sz="6" w:val="single"/>
              <w:left w:color="64748b" w:space="0" w:sz="6" w:val="single"/>
              <w:bottom w:color="64748b" w:space="0" w:sz="6" w:val="single"/>
              <w:right w:color="64748b"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Population Health Stratification:</w:t>
            </w:r>
            <w:r w:rsidDel="00000000" w:rsidR="00000000" w:rsidRPr="00000000">
              <w:rPr>
                <w:rFonts w:ascii="Arial" w:cs="Arial" w:eastAsia="Arial" w:hAnsi="Arial"/>
                <w:sz w:val="20"/>
                <w:szCs w:val="20"/>
                <w:shd w:fill="auto" w:val="clear"/>
                <w:vertAlign w:val="baseline"/>
                <w:rtl w:val="0"/>
              </w:rPr>
              <w:t xml:space="preserve"> Embed ML-derived PRS into clinical and population dashboards, enabling payers to identify high-risk members for proactive outreach before costly claims accrue.</w:t>
            </w:r>
          </w:p>
        </w:tc>
        <w:tc>
          <w:tcPr>
            <w:tcBorders>
              <w:top w:color="64748b" w:space="0" w:sz="6" w:val="single"/>
              <w:left w:color="64748b" w:space="0" w:sz="6" w:val="single"/>
              <w:bottom w:color="64748b" w:space="0" w:sz="6" w:val="single"/>
              <w:right w:color="64748b"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Model Bias and Regulatory Liability:</w:t>
            </w:r>
            <w:r w:rsidDel="00000000" w:rsidR="00000000" w:rsidRPr="00000000">
              <w:rPr>
                <w:rFonts w:ascii="Arial" w:cs="Arial" w:eastAsia="Arial" w:hAnsi="Arial"/>
                <w:sz w:val="20"/>
                <w:szCs w:val="20"/>
                <w:shd w:fill="auto" w:val="clear"/>
                <w:vertAlign w:val="baseline"/>
                <w:rtl w:val="0"/>
              </w:rPr>
              <w:t xml:space="preserve"> ML models trained on non-diverse cohorts underperform in specific minority populations, creating compliance exposure under evolving FDA SaMD guidance.</w:t>
            </w:r>
          </w:p>
        </w:tc>
      </w:tr>
      <w:tr>
        <w:trPr>
          <w:cantSplit w:val="0"/>
          <w:tblHeader w:val="0"/>
        </w:trPr>
        <w:tc>
          <w:tcPr>
            <w:tcBorders>
              <w:top w:color="64748b" w:space="0" w:sz="6" w:val="single"/>
              <w:left w:color="64748b" w:space="0" w:sz="6" w:val="single"/>
              <w:bottom w:color="64748b" w:space="0" w:sz="6" w:val="single"/>
              <w:right w:color="64748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Value-Based Care Alignment:</w:t>
            </w:r>
            <w:r w:rsidDel="00000000" w:rsidR="00000000" w:rsidRPr="00000000">
              <w:rPr>
                <w:rFonts w:ascii="Arial" w:cs="Arial" w:eastAsia="Arial" w:hAnsi="Arial"/>
                <w:sz w:val="20"/>
                <w:szCs w:val="20"/>
                <w:vertAlign w:val="baseline"/>
                <w:rtl w:val="0"/>
              </w:rPr>
              <w:t xml:space="preserve"> Direct integration of genomic risk signals into pre-authorization and care workflows to drive massive downstream oncology cost avoidance.</w:t>
            </w:r>
          </w:p>
        </w:tc>
        <w:tc>
          <w:tcPr>
            <w:tcBorders>
              <w:top w:color="64748b" w:space="0" w:sz="6" w:val="single"/>
              <w:left w:color="64748b" w:space="0" w:sz="6" w:val="single"/>
              <w:bottom w:color="64748b" w:space="0" w:sz="6" w:val="single"/>
              <w:right w:color="64748b"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Data Privacy &amp; HIPAA Constraints:</w:t>
            </w:r>
            <w:r w:rsidDel="00000000" w:rsidR="00000000" w:rsidRPr="00000000">
              <w:rPr>
                <w:rFonts w:ascii="Arial" w:cs="Arial" w:eastAsia="Arial" w:hAnsi="Arial"/>
                <w:sz w:val="20"/>
                <w:szCs w:val="20"/>
                <w:vertAlign w:val="baseline"/>
                <w:rtl w:val="0"/>
              </w:rPr>
              <w:t xml:space="preserve"> Ingestion and processing of germline genomic data creates highly heightened Protected Health Information (PHI) encryption and compliance obligations.</w:t>
            </w:r>
          </w:p>
        </w:tc>
      </w:tr>
      <w:tr>
        <w:trPr>
          <w:cantSplit w:val="0"/>
          <w:tblHeader w:val="0"/>
        </w:trPr>
        <w:tc>
          <w:tcPr>
            <w:tcBorders>
              <w:top w:color="64748b" w:space="0" w:sz="6" w:val="single"/>
              <w:left w:color="64748b" w:space="0" w:sz="6" w:val="single"/>
              <w:bottom w:color="64748b" w:space="0" w:sz="6" w:val="single"/>
              <w:right w:color="64748b"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Health Equity Differentiation:</w:t>
            </w:r>
            <w:r w:rsidDel="00000000" w:rsidR="00000000" w:rsidRPr="00000000">
              <w:rPr>
                <w:rFonts w:ascii="Arial" w:cs="Arial" w:eastAsia="Arial" w:hAnsi="Arial"/>
                <w:sz w:val="20"/>
                <w:szCs w:val="20"/>
                <w:shd w:fill="auto" w:val="clear"/>
                <w:vertAlign w:val="baseline"/>
                <w:rtl w:val="0"/>
              </w:rPr>
              <w:t xml:space="preserve"> Developing ancestry-aware ML risk models directly addresses known market gaps and aligns with CMS equity mandates and NCQA HEDIS metrics.</w:t>
            </w:r>
          </w:p>
        </w:tc>
        <w:tc>
          <w:tcPr>
            <w:tcBorders>
              <w:top w:color="64748b" w:space="0" w:sz="6" w:val="single"/>
              <w:left w:color="64748b" w:space="0" w:sz="6" w:val="single"/>
              <w:bottom w:color="64748b" w:space="0" w:sz="6" w:val="single"/>
              <w:right w:color="64748b"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Competitive Market Displacement:</w:t>
            </w:r>
            <w:r w:rsidDel="00000000" w:rsidR="00000000" w:rsidRPr="00000000">
              <w:rPr>
                <w:rFonts w:ascii="Arial" w:cs="Arial" w:eastAsia="Arial" w:hAnsi="Arial"/>
                <w:sz w:val="20"/>
                <w:szCs w:val="20"/>
                <w:shd w:fill="auto" w:val="clear"/>
                <w:vertAlign w:val="baseline"/>
                <w:rtl w:val="0"/>
              </w:rPr>
              <w:t xml:space="preserve"> Highly capitalized niche genomics firms (e.g., Tempus, Foundation Medicine) and EHR core vendors are rapidly capturing early market share.</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70" w:before="300" w:lineRule="auto"/>
        <w:rPr>
          <w:rFonts w:ascii="Arial" w:cs="Arial" w:eastAsia="Arial" w:hAnsi="Arial"/>
          <w:color w:val="1a1f5e"/>
        </w:rPr>
      </w:pPr>
      <w:r w:rsidDel="00000000" w:rsidR="00000000" w:rsidRPr="00000000">
        <w:rPr>
          <w:rFonts w:ascii="Arial" w:cs="Arial" w:eastAsia="Arial" w:hAnsi="Arial"/>
          <w:color w:val="1a1f5e"/>
          <w:rtl w:val="0"/>
        </w:rPr>
        <w:t xml:space="preserve">4. Strategic Recommendations &amp; Investment Positions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2"/>
          <w:szCs w:val="22"/>
          <w:rtl w:val="0"/>
        </w:rPr>
        <w:t xml:space="preserve">To maximize enterprise speed-to-value while mitigating compliance burdens, Cotiviti should adopt a phased approach: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Option A: GWAS-PRS Risk Stratification API (Immediate Recommendation):</w:t>
      </w:r>
      <w:r w:rsidDel="00000000" w:rsidR="00000000" w:rsidRPr="00000000">
        <w:rPr>
          <w:rFonts w:ascii="Arial" w:cs="Arial" w:eastAsia="Arial" w:hAnsi="Arial"/>
          <w:sz w:val="22"/>
          <w:szCs w:val="22"/>
          <w:rtl w:val="0"/>
        </w:rPr>
        <w:t xml:space="preserve"> Cotiviti should develop an ancestry-aware genomic risk stratification microservice. This API will ingest raw multi-ancestry SNP arrays from diagnostic laboratories, compute calibrated polygenic risk scores via optimized pipelines (e.g., LDpred2/PRSice frameworks), and return normalized clinical risk tiers directly to payer population health platforms. Initial execution will target colorectal, lung, and breast cancers due to their mature GWAS evidence bases and clear CMS reimbursement coverage. This positions Cotiviti as a genomics-informed analytics vendor without requiring intensive physical lab infrastructure.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50" w:line="275.9999942779541"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Option B: mQTL-Informed Clinical Decision Support (Long-Term Follow-On):</w:t>
      </w:r>
      <w:r w:rsidDel="00000000" w:rsidR="00000000" w:rsidRPr="00000000">
        <w:rPr>
          <w:rFonts w:ascii="Arial" w:cs="Arial" w:eastAsia="Arial" w:hAnsi="Arial"/>
          <w:sz w:val="22"/>
          <w:szCs w:val="22"/>
          <w:rtl w:val="0"/>
        </w:rPr>
        <w:t xml:space="preserve"> Establish data-sharing consortium partnerships with multi-ethnic biobanks (e.g., All of Us, Sangre Por Salud) to train advanced gradient-boosted or attention-based ML models on integrated GWAS, methylation, and metabolomics matrices. Predictions will deliver real-time recommendations via HL7 FHIR CDS Hooks directly inside provider EHR systems. This option builds an highly defensible, proprietary data moat by uniquely linking genomic variations to longitudinal healthcare utilization trends.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70" w:before="0" w:lineRule="auto"/>
        <w:rPr>
          <w:rFonts w:ascii="Arial" w:cs="Arial" w:eastAsia="Arial" w:hAnsi="Arial"/>
          <w:color w:val="1a1f5e"/>
        </w:rPr>
      </w:pPr>
      <w:r w:rsidDel="00000000" w:rsidR="00000000" w:rsidRPr="00000000">
        <w:rPr>
          <w:rFonts w:ascii="Arial" w:cs="Arial" w:eastAsia="Arial" w:hAnsi="Arial"/>
          <w:color w:val="1a1f5e"/>
          <w:rtl w:val="0"/>
        </w:rPr>
        <w:t xml:space="preserve">5. Bibliography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0"/>
          <w:szCs w:val="20"/>
          <w:rtl w:val="0"/>
        </w:rPr>
        <w:t xml:space="preserve">Bycroft, C., Freeman, C., Petkova, D., Band, G., Elliott, L. T., Sharp, K., ... &amp; Marchini, J. (2018). The UK Biobank resource with deep phenotyping and genomic data. </w:t>
      </w:r>
      <w:r w:rsidDel="00000000" w:rsidR="00000000" w:rsidRPr="00000000">
        <w:rPr>
          <w:rFonts w:ascii="Arial" w:cs="Arial" w:eastAsia="Arial" w:hAnsi="Arial"/>
          <w:i w:val="1"/>
          <w:iCs w:val="1"/>
          <w:sz w:val="20"/>
          <w:szCs w:val="20"/>
          <w:rtl w:val="0"/>
        </w:rPr>
        <w:t xml:space="preserve">Nature</w:t>
      </w:r>
      <w:r w:rsidDel="00000000" w:rsidR="00000000" w:rsidRPr="00000000">
        <w:rPr>
          <w:rFonts w:ascii="Arial" w:cs="Arial" w:eastAsia="Arial" w:hAnsi="Arial"/>
          <w:sz w:val="20"/>
          <w:szCs w:val="20"/>
          <w:rtl w:val="0"/>
        </w:rPr>
        <w:t xml:space="preserve">, 562(7726), 203-209. https://doi.org/10.1038/s41586-018-0579-z</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Choi, S. W., Mak, T. S. H., &amp; O'Reilly, P. F. (2020). Tutorial: A guide to performing polygenic risk score analyses. </w:t>
      </w:r>
      <w:r w:rsidDel="00000000" w:rsidR="00000000" w:rsidRPr="00000000">
        <w:rPr>
          <w:rFonts w:ascii="Arial" w:cs="Arial" w:eastAsia="Arial" w:hAnsi="Arial"/>
          <w:i w:val="1"/>
          <w:iCs w:val="1"/>
          <w:sz w:val="20"/>
          <w:szCs w:val="20"/>
          <w:rtl w:val="0"/>
        </w:rPr>
        <w:t xml:space="preserve">Nature Protocols</w:t>
      </w:r>
      <w:r w:rsidDel="00000000" w:rsidR="00000000" w:rsidRPr="00000000">
        <w:rPr>
          <w:rFonts w:ascii="Arial" w:cs="Arial" w:eastAsia="Arial" w:hAnsi="Arial"/>
          <w:sz w:val="20"/>
          <w:szCs w:val="20"/>
          <w:rtl w:val="0"/>
        </w:rPr>
        <w:t xml:space="preserve">, 15(9), 2759-2772. https://doi.org/10.1038/s41596-020-0353-1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Eraslan, G., Avsec, Z., Gagneur, J., &amp; Theis, F. J. (2019). Deep learning: New computational modelling techniques for genomics. </w:t>
      </w:r>
      <w:r w:rsidDel="00000000" w:rsidR="00000000" w:rsidRPr="00000000">
        <w:rPr>
          <w:rFonts w:ascii="Arial" w:cs="Arial" w:eastAsia="Arial" w:hAnsi="Arial"/>
          <w:i w:val="1"/>
          <w:iCs w:val="1"/>
          <w:sz w:val="20"/>
          <w:szCs w:val="20"/>
          <w:rtl w:val="0"/>
        </w:rPr>
        <w:t xml:space="preserve">Nature Reviews Genetics</w:t>
      </w:r>
      <w:r w:rsidDel="00000000" w:rsidR="00000000" w:rsidRPr="00000000">
        <w:rPr>
          <w:rFonts w:ascii="Arial" w:cs="Arial" w:eastAsia="Arial" w:hAnsi="Arial"/>
          <w:sz w:val="20"/>
          <w:szCs w:val="20"/>
          <w:rtl w:val="0"/>
        </w:rPr>
        <w:t xml:space="preserve">, 20(7), 389-403. https://doi.org/10.1038/s41576-019-0122-6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Khera, A. V., Chaffin, M., Aragam, K. G., Haas, M. E., Roselli, C., Choi, S. H., ... &amp; Kathiresan, S. (2018). Genome-wide polygenic scores for common diseases identify individuals with risk equivalent to monogenic mutations. </w:t>
      </w:r>
      <w:r w:rsidDel="00000000" w:rsidR="00000000" w:rsidRPr="00000000">
        <w:rPr>
          <w:rFonts w:ascii="Arial" w:cs="Arial" w:eastAsia="Arial" w:hAnsi="Arial"/>
          <w:i w:val="1"/>
          <w:iCs w:val="1"/>
          <w:sz w:val="20"/>
          <w:szCs w:val="20"/>
          <w:rtl w:val="0"/>
        </w:rPr>
        <w:t xml:space="preserve">Nature Genetics</w:t>
      </w:r>
      <w:r w:rsidDel="00000000" w:rsidR="00000000" w:rsidRPr="00000000">
        <w:rPr>
          <w:rFonts w:ascii="Arial" w:cs="Arial" w:eastAsia="Arial" w:hAnsi="Arial"/>
          <w:sz w:val="20"/>
          <w:szCs w:val="20"/>
          <w:rtl w:val="0"/>
        </w:rPr>
        <w:t xml:space="preserve">, 50(9), 1219-1224. https://doi.org/10.1038/s41588-018-0183-z</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Martin, A. R., Kanai, M., Kamatani, Y., Okada, Y., Neale, B. M., &amp; Daly, M. J. (2019). Clinical use of current polygenic risk scores may exacerbate health disparities. </w:t>
      </w:r>
      <w:r w:rsidDel="00000000" w:rsidR="00000000" w:rsidRPr="00000000">
        <w:rPr>
          <w:rFonts w:ascii="Arial" w:cs="Arial" w:eastAsia="Arial" w:hAnsi="Arial"/>
          <w:i w:val="1"/>
          <w:iCs w:val="1"/>
          <w:sz w:val="20"/>
          <w:szCs w:val="20"/>
          <w:rtl w:val="0"/>
        </w:rPr>
        <w:t xml:space="preserve">Nature Genetics</w:t>
      </w:r>
      <w:r w:rsidDel="00000000" w:rsidR="00000000" w:rsidRPr="00000000">
        <w:rPr>
          <w:rFonts w:ascii="Arial" w:cs="Arial" w:eastAsia="Arial" w:hAnsi="Arial"/>
          <w:sz w:val="20"/>
          <w:szCs w:val="20"/>
          <w:rtl w:val="0"/>
        </w:rPr>
        <w:t xml:space="preserve">, 51(4), 584-591. https://doi.org/10.1038/s41588-019-0379-x</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Reel, P. S., Reel, S., Pearson, E., Trucco, E., &amp; Jefferson, E. (2021). Using machine learning approaches for multi-omics data analysis: A review. </w:t>
      </w:r>
      <w:r w:rsidDel="00000000" w:rsidR="00000000" w:rsidRPr="00000000">
        <w:rPr>
          <w:rFonts w:ascii="Arial" w:cs="Arial" w:eastAsia="Arial" w:hAnsi="Arial"/>
          <w:i w:val="1"/>
          <w:iCs w:val="1"/>
          <w:sz w:val="20"/>
          <w:szCs w:val="20"/>
          <w:rtl w:val="0"/>
        </w:rPr>
        <w:t xml:space="preserve">Biotechnology Advances</w:t>
      </w:r>
      <w:r w:rsidDel="00000000" w:rsidR="00000000" w:rsidRPr="00000000">
        <w:rPr>
          <w:rFonts w:ascii="Arial" w:cs="Arial" w:eastAsia="Arial" w:hAnsi="Arial"/>
          <w:sz w:val="20"/>
          <w:szCs w:val="20"/>
          <w:rtl w:val="0"/>
        </w:rPr>
        <w:t xml:space="preserve">, 49, 107739. https://doi.org/10.1016/j.biotechadv.2021.107739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 Food and Drug Administration. (2021). Artificial intelligence/machine learning (AI/ML)-based software as a medical device (SaMD) action plan. </w:t>
      </w:r>
      <w:r w:rsidDel="00000000" w:rsidR="00000000" w:rsidRPr="00000000">
        <w:rPr>
          <w:rFonts w:ascii="Arial" w:cs="Arial" w:eastAsia="Arial" w:hAnsi="Arial"/>
          <w:i w:val="1"/>
          <w:iCs w:val="1"/>
          <w:sz w:val="20"/>
          <w:szCs w:val="20"/>
          <w:rtl w:val="0"/>
        </w:rPr>
        <w:t xml:space="preserve">FDA</w:t>
      </w:r>
      <w:r w:rsidDel="00000000" w:rsidR="00000000" w:rsidRPr="00000000">
        <w:rPr>
          <w:rFonts w:ascii="Arial" w:cs="Arial" w:eastAsia="Arial" w:hAnsi="Arial"/>
          <w:sz w:val="20"/>
          <w:szCs w:val="20"/>
          <w:rtl w:val="0"/>
        </w:rPr>
        <w:t xml:space="preserve">. https://www.fda.gov/media/145022/download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