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00"/>
      </w:pPr>
    </w:p>
    <w:p>
      <w:pPr>
        <w:spacing w:after="220"/>
        <w:jc w:val="center"/>
      </w:pPr>
      <w:r>
        <w:rPr>
          <w:b/>
          <w:bCs/>
          <w:color w:val="1F3864"/>
          <w:sz w:val="56"/>
          <w:szCs w:val="56"/>
        </w:rPr>
        <w:t xml:space="preserve">AI Incident Response Playbook</w:t>
      </w:r>
    </w:p>
    <w:p>
      <w:pPr>
        <w:spacing w:after="700"/>
        <w:jc w:val="center"/>
      </w:pPr>
      <w:r>
        <w:rPr>
          <w:color w:val="2E5496"/>
          <w:sz w:val="26"/>
          <w:szCs w:val="26"/>
        </w:rPr>
        <w:t xml:space="preserve">Meridian Digital Assets — Trust &amp; Safety / AI Governance</w:t>
      </w:r>
    </w:p>
    <w:p>
      <w:pPr>
        <w:spacing w:after="400"/>
        <w:jc w:val="center"/>
      </w:pPr>
      <w:r>
        <w:rPr>
          <w:color w:val="6B6B6B"/>
          <w:sz w:val="20"/>
          <w:szCs w:val="20"/>
        </w:rPr>
        <w:t xml:space="preserve">Document ID MDA-TS-PB-014  ·  Version 1.2  ·  Approved 2026-07-07</w:t>
      </w:r>
    </w:p>
    <w:p>
      <w:pPr>
        <w:ind w:left="900" w:right="900"/>
        <w:jc w:val="center"/>
      </w:pPr>
      <w:r>
        <w:rPr>
          <w:i/>
          <w:iCs/>
          <w:color w:val="6B6B6B"/>
          <w:sz w:val="19"/>
          <w:szCs w:val="19"/>
        </w:rPr>
        <w:t xml:space="preserve">Portfolio note: Meridian Digital Assets is a fictional digital-asset trading and custody platform used to ground this playbook in a realistic operating context. All document-control metadata — owner, approver, status, version history — is part of that fictional scenario, illustrating how the playbook would live inside a real governance structure. The process, taxonomy, and templates are designed to be adopted by any organization deploying AI systems: replace the illustrative systems (§1.2) and role holders with your own.</w:t>
      </w:r>
    </w:p>
    <w:p>
      <w:r>
        <w:br w:type="page"/>
      </w:r>
    </w:p>
    <w:p>
      <w:pPr>
        <w:spacing w:after="200"/>
      </w:pPr>
      <w:r>
        <w:rPr>
          <w:b/>
          <w:bCs/>
          <w:color w:val="1F3864"/>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40"/>
      </w:pPr>
      <w:r>
        <w:t xml:space="preserve">0. Document Control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6499"/>
      </w:tblGrid>
      <w:tr>
        <w:trPr>
          <w:tblHeader/>
        </w:trPr>
        <w:tc>
          <w:tcPr>
            <w:tcW w:type="dxa" w:w="2527"/>
            <w:shd w:fill="1F3864" w:color="auto" w:val="clear"/>
            <w:tcMar>
              <w:top w:type="dxa" w:w="60"/>
              <w:left w:type="dxa" w:w="80"/>
              <w:bottom w:type="dxa" w:w="60"/>
              <w:right w:type="dxa" w:w="80"/>
            </w:tcMar>
            <w:vAlign w:val="center"/>
          </w:tcPr>
          <w:p>
            <w:pPr>
              <w:spacing w:after="20" w:line="240"/>
            </w:pPr>
            <w:r>
              <w:rPr>
                <w:b/>
                <w:bCs/>
                <w:color w:val="FFFFFF"/>
                <w:sz w:val="18"/>
                <w:szCs w:val="18"/>
              </w:rPr>
              <w:t xml:space="preserve">Field</w:t>
            </w:r>
          </w:p>
        </w:tc>
        <w:tc>
          <w:tcPr>
            <w:tcW w:type="dxa" w:w="6499"/>
            <w:shd w:fill="1F3864" w:color="auto" w:val="clear"/>
            <w:tcMar>
              <w:top w:type="dxa" w:w="60"/>
              <w:left w:type="dxa" w:w="80"/>
              <w:bottom w:type="dxa" w:w="60"/>
              <w:right w:type="dxa" w:w="80"/>
            </w:tcMar>
            <w:vAlign w:val="center"/>
          </w:tcPr>
          <w:p>
            <w:pPr>
              <w:spacing w:after="20" w:line="240"/>
            </w:pPr>
            <w:r>
              <w:rPr>
                <w:b/>
                <w:bCs/>
                <w:color w:val="FFFFFF"/>
                <w:sz w:val="18"/>
                <w:szCs w:val="18"/>
              </w:rPr>
              <w:t xml:space="preserve">Value</w:t>
            </w:r>
          </w:p>
        </w:tc>
      </w:tr>
      <w:tr>
        <w:tc>
          <w:tcPr>
            <w:tcW w:type="dxa" w:w="2527"/>
            <w:tcMar>
              <w:top w:type="dxa" w:w="50"/>
              <w:left w:type="dxa" w:w="80"/>
              <w:bottom w:type="dxa" w:w="50"/>
              <w:right w:type="dxa" w:w="80"/>
            </w:tcMar>
          </w:tcPr>
          <w:p>
            <w:pPr>
              <w:spacing w:after="20" w:line="240"/>
            </w:pPr>
            <w:r>
              <w:rPr>
                <w:sz w:val="18"/>
                <w:szCs w:val="18"/>
              </w:rPr>
              <w:t xml:space="preserve">Document ID</w:t>
            </w:r>
          </w:p>
        </w:tc>
        <w:tc>
          <w:tcPr>
            <w:tcW w:type="dxa" w:w="6499"/>
            <w:tcMar>
              <w:top w:type="dxa" w:w="50"/>
              <w:left w:type="dxa" w:w="80"/>
              <w:bottom w:type="dxa" w:w="50"/>
              <w:right w:type="dxa" w:w="80"/>
            </w:tcMar>
          </w:tcPr>
          <w:p>
            <w:pPr>
              <w:spacing w:after="20" w:line="240"/>
            </w:pPr>
            <w:r>
              <w:rPr>
                <w:sz w:val="18"/>
                <w:szCs w:val="18"/>
              </w:rPr>
              <w:t xml:space="preserve">MDA-TS-PB-014</w:t>
            </w:r>
          </w:p>
        </w:tc>
      </w:tr>
      <w:tr>
        <w:tc>
          <w:tcPr>
            <w:tcW w:type="dxa" w:w="2527"/>
            <w:shd w:fill="F2F6FB" w:color="auto" w:val="clear"/>
            <w:tcMar>
              <w:top w:type="dxa" w:w="50"/>
              <w:left w:type="dxa" w:w="80"/>
              <w:bottom w:type="dxa" w:w="50"/>
              <w:right w:type="dxa" w:w="80"/>
            </w:tcMar>
          </w:tcPr>
          <w:p>
            <w:pPr>
              <w:spacing w:after="20" w:line="240"/>
            </w:pPr>
            <w:r>
              <w:rPr>
                <w:sz w:val="18"/>
                <w:szCs w:val="18"/>
              </w:rPr>
              <w:t xml:space="preserve">Version</w:t>
            </w:r>
          </w:p>
        </w:tc>
        <w:tc>
          <w:tcPr>
            <w:tcW w:type="dxa" w:w="6499"/>
            <w:shd w:fill="F2F6FB" w:color="auto" w:val="clear"/>
            <w:tcMar>
              <w:top w:type="dxa" w:w="50"/>
              <w:left w:type="dxa" w:w="80"/>
              <w:bottom w:type="dxa" w:w="50"/>
              <w:right w:type="dxa" w:w="80"/>
            </w:tcMar>
          </w:tcPr>
          <w:p>
            <w:pPr>
              <w:spacing w:after="20" w:line="240"/>
            </w:pPr>
            <w:r>
              <w:rPr>
                <w:sz w:val="18"/>
                <w:szCs w:val="18"/>
              </w:rPr>
              <w:t xml:space="preserve">1.2</w:t>
            </w:r>
          </w:p>
        </w:tc>
      </w:tr>
      <w:tr>
        <w:tc>
          <w:tcPr>
            <w:tcW w:type="dxa" w:w="2527"/>
            <w:tcMar>
              <w:top w:type="dxa" w:w="50"/>
              <w:left w:type="dxa" w:w="80"/>
              <w:bottom w:type="dxa" w:w="50"/>
              <w:right w:type="dxa" w:w="80"/>
            </w:tcMar>
          </w:tcPr>
          <w:p>
            <w:pPr>
              <w:spacing w:after="20" w:line="240"/>
            </w:pPr>
            <w:r>
              <w:rPr>
                <w:sz w:val="18"/>
                <w:szCs w:val="18"/>
              </w:rPr>
              <w:t xml:space="preserve">Status</w:t>
            </w:r>
          </w:p>
        </w:tc>
        <w:tc>
          <w:tcPr>
            <w:tcW w:type="dxa" w:w="6499"/>
            <w:tcMar>
              <w:top w:type="dxa" w:w="50"/>
              <w:left w:type="dxa" w:w="80"/>
              <w:bottom w:type="dxa" w:w="50"/>
              <w:right w:type="dxa" w:w="80"/>
            </w:tcMar>
          </w:tcPr>
          <w:p>
            <w:pPr>
              <w:spacing w:after="20" w:line="240"/>
            </w:pPr>
            <w:r>
              <w:rPr>
                <w:sz w:val="18"/>
                <w:szCs w:val="18"/>
              </w:rPr>
              <w:t xml:space="preserve">Approved</w:t>
            </w:r>
          </w:p>
        </w:tc>
      </w:tr>
      <w:tr>
        <w:tc>
          <w:tcPr>
            <w:tcW w:type="dxa" w:w="2527"/>
            <w:shd w:fill="F2F6FB" w:color="auto" w:val="clear"/>
            <w:tcMar>
              <w:top w:type="dxa" w:w="50"/>
              <w:left w:type="dxa" w:w="80"/>
              <w:bottom w:type="dxa" w:w="50"/>
              <w:right w:type="dxa" w:w="80"/>
            </w:tcMar>
          </w:tcPr>
          <w:p>
            <w:pPr>
              <w:spacing w:after="20" w:line="240"/>
            </w:pPr>
            <w:r>
              <w:rPr>
                <w:sz w:val="18"/>
                <w:szCs w:val="18"/>
              </w:rPr>
              <w:t xml:space="preserve">Owner</w:t>
            </w:r>
          </w:p>
        </w:tc>
        <w:tc>
          <w:tcPr>
            <w:tcW w:type="dxa" w:w="6499"/>
            <w:shd w:fill="F2F6FB" w:color="auto" w:val="clear"/>
            <w:tcMar>
              <w:top w:type="dxa" w:w="50"/>
              <w:left w:type="dxa" w:w="80"/>
              <w:bottom w:type="dxa" w:w="50"/>
              <w:right w:type="dxa" w:w="80"/>
            </w:tcMar>
          </w:tcPr>
          <w:p>
            <w:pPr>
              <w:spacing w:after="20" w:line="240"/>
            </w:pPr>
            <w:r>
              <w:rPr>
                <w:sz w:val="18"/>
                <w:szCs w:val="18"/>
              </w:rPr>
              <w:t xml:space="preserve">Head of Trust &amp; Safety</w:t>
            </w:r>
          </w:p>
        </w:tc>
      </w:tr>
      <w:tr>
        <w:tc>
          <w:tcPr>
            <w:tcW w:type="dxa" w:w="2527"/>
            <w:tcMar>
              <w:top w:type="dxa" w:w="50"/>
              <w:left w:type="dxa" w:w="80"/>
              <w:bottom w:type="dxa" w:w="50"/>
              <w:right w:type="dxa" w:w="80"/>
            </w:tcMar>
          </w:tcPr>
          <w:p>
            <w:pPr>
              <w:spacing w:after="20" w:line="240"/>
            </w:pPr>
            <w:r>
              <w:rPr>
                <w:sz w:val="18"/>
                <w:szCs w:val="18"/>
              </w:rPr>
              <w:t xml:space="preserve">Approver</w:t>
            </w:r>
          </w:p>
        </w:tc>
        <w:tc>
          <w:tcPr>
            <w:tcW w:type="dxa" w:w="6499"/>
            <w:tcMar>
              <w:top w:type="dxa" w:w="50"/>
              <w:left w:type="dxa" w:w="80"/>
              <w:bottom w:type="dxa" w:w="50"/>
              <w:right w:type="dxa" w:w="80"/>
            </w:tcMar>
          </w:tcPr>
          <w:p>
            <w:pPr>
              <w:spacing w:after="20" w:line="240"/>
            </w:pPr>
            <w:r>
              <w:rPr>
                <w:sz w:val="18"/>
                <w:szCs w:val="18"/>
              </w:rPr>
              <w:t xml:space="preserve">Chief Risk Officer</w:t>
            </w:r>
          </w:p>
        </w:tc>
      </w:tr>
      <w:tr>
        <w:tc>
          <w:tcPr>
            <w:tcW w:type="dxa" w:w="2527"/>
            <w:shd w:fill="F2F6FB" w:color="auto" w:val="clear"/>
            <w:tcMar>
              <w:top w:type="dxa" w:w="50"/>
              <w:left w:type="dxa" w:w="80"/>
              <w:bottom w:type="dxa" w:w="50"/>
              <w:right w:type="dxa" w:w="80"/>
            </w:tcMar>
          </w:tcPr>
          <w:p>
            <w:pPr>
              <w:spacing w:after="20" w:line="240"/>
            </w:pPr>
            <w:r>
              <w:rPr>
                <w:sz w:val="18"/>
                <w:szCs w:val="18"/>
              </w:rPr>
              <w:t xml:space="preserve">Review cadence</w:t>
            </w:r>
          </w:p>
        </w:tc>
        <w:tc>
          <w:tcPr>
            <w:tcW w:type="dxa" w:w="6499"/>
            <w:shd w:fill="F2F6FB" w:color="auto" w:val="clear"/>
            <w:tcMar>
              <w:top w:type="dxa" w:w="50"/>
              <w:left w:type="dxa" w:w="80"/>
              <w:bottom w:type="dxa" w:w="50"/>
              <w:right w:type="dxa" w:w="80"/>
            </w:tcMar>
          </w:tcPr>
          <w:p>
            <w:pPr>
              <w:spacing w:after="20" w:line="240"/>
            </w:pPr>
            <w:r>
              <w:rPr>
                <w:sz w:val="18"/>
                <w:szCs w:val="18"/>
              </w:rPr>
              <w:t xml:space="preserve">Semi-annual, and after every SEV-1/SEV-2 post-incident review</w:t>
            </w:r>
          </w:p>
        </w:tc>
      </w:tr>
      <w:tr>
        <w:tc>
          <w:tcPr>
            <w:tcW w:type="dxa" w:w="2527"/>
            <w:tcMar>
              <w:top w:type="dxa" w:w="50"/>
              <w:left w:type="dxa" w:w="80"/>
              <w:bottom w:type="dxa" w:w="50"/>
              <w:right w:type="dxa" w:w="80"/>
            </w:tcMar>
          </w:tcPr>
          <w:p>
            <w:pPr>
              <w:spacing w:after="20" w:line="240"/>
            </w:pPr>
            <w:r>
              <w:rPr>
                <w:sz w:val="18"/>
                <w:szCs w:val="18"/>
              </w:rPr>
              <w:t xml:space="preserve">Applies to</w:t>
            </w:r>
          </w:p>
        </w:tc>
        <w:tc>
          <w:tcPr>
            <w:tcW w:type="dxa" w:w="6499"/>
            <w:tcMar>
              <w:top w:type="dxa" w:w="50"/>
              <w:left w:type="dxa" w:w="80"/>
              <w:bottom w:type="dxa" w:w="50"/>
              <w:right w:type="dxa" w:w="80"/>
            </w:tcMar>
          </w:tcPr>
          <w:p>
            <w:pPr>
              <w:spacing w:after="20" w:line="240"/>
            </w:pPr>
            <w:r>
              <w:rPr>
                <w:sz w:val="18"/>
                <w:szCs w:val="18"/>
              </w:rPr>
              <w:t xml:space="preserve">All production AI systems operated by Meridian (§1.2)</w:t>
            </w:r>
          </w:p>
        </w:tc>
      </w:tr>
      <w:tr>
        <w:tc>
          <w:tcPr>
            <w:tcW w:type="dxa" w:w="2527"/>
            <w:shd w:fill="F2F6FB" w:color="auto" w:val="clear"/>
            <w:tcMar>
              <w:top w:type="dxa" w:w="50"/>
              <w:left w:type="dxa" w:w="80"/>
              <w:bottom w:type="dxa" w:w="50"/>
              <w:right w:type="dxa" w:w="80"/>
            </w:tcMar>
          </w:tcPr>
          <w:p>
            <w:pPr>
              <w:spacing w:after="20" w:line="240"/>
            </w:pPr>
            <w:r>
              <w:rPr>
                <w:sz w:val="18"/>
                <w:szCs w:val="18"/>
              </w:rPr>
              <w:t xml:space="preserve">Related documents</w:t>
            </w:r>
          </w:p>
        </w:tc>
        <w:tc>
          <w:tcPr>
            <w:tcW w:type="dxa" w:w="6499"/>
            <w:shd w:fill="F2F6FB" w:color="auto" w:val="clear"/>
            <w:tcMar>
              <w:top w:type="dxa" w:w="50"/>
              <w:left w:type="dxa" w:w="80"/>
              <w:bottom w:type="dxa" w:w="50"/>
              <w:right w:type="dxa" w:w="80"/>
            </w:tcMar>
          </w:tcPr>
          <w:p>
            <w:pPr>
              <w:spacing w:after="20" w:line="240"/>
            </w:pPr>
            <w:r>
              <w:rPr>
                <w:sz w:val="18"/>
                <w:szCs w:val="18"/>
              </w:rPr>
              <w:t xml:space="preserve">Enterprise Incident Response Plan (MDA-SEC-PL-002); Data Breach Response Procedure (MDA-PRV-PR-005); AI Risk Register (MDA-GOV-RR-001); Model Inventory (MDA-GOV-INV-003); Business Continuity &amp; Disaster Recovery Plan (MDA-BCP-PL-001); per-category incident runbooks (MDA-TS-RB-001…007, pattern in Appendix F)</w:t>
            </w:r>
          </w:p>
        </w:tc>
      </w:tr>
    </w:tbl>
    <w:p>
      <w:pPr>
        <w:spacing w:after="120"/>
      </w:pPr>
    </w:p>
    <w:p>
      <w:pPr>
        <w:pStyle w:val="Heading2"/>
        <w:spacing w:after="120" w:before="260"/>
      </w:pPr>
      <w:r>
        <w:t xml:space="preserve">Version history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83"/>
        <w:gridCol w:w="1444"/>
        <w:gridCol w:w="2347"/>
        <w:gridCol w:w="4152"/>
      </w:tblGrid>
      <w:tr>
        <w:trPr>
          <w:tblHeader/>
        </w:trPr>
        <w:tc>
          <w:tcPr>
            <w:tcW w:type="dxa" w:w="1083"/>
            <w:shd w:fill="1F3864" w:color="auto" w:val="clear"/>
            <w:tcMar>
              <w:top w:type="dxa" w:w="60"/>
              <w:left w:type="dxa" w:w="80"/>
              <w:bottom w:type="dxa" w:w="60"/>
              <w:right w:type="dxa" w:w="80"/>
            </w:tcMar>
            <w:vAlign w:val="center"/>
          </w:tcPr>
          <w:p>
            <w:pPr>
              <w:spacing w:after="20" w:line="240"/>
            </w:pPr>
            <w:r>
              <w:rPr>
                <w:b/>
                <w:bCs/>
                <w:color w:val="FFFFFF"/>
                <w:sz w:val="18"/>
                <w:szCs w:val="18"/>
              </w:rPr>
              <w:t xml:space="preserve">Version</w:t>
            </w:r>
          </w:p>
        </w:tc>
        <w:tc>
          <w:tcPr>
            <w:tcW w:type="dxa" w:w="1444"/>
            <w:shd w:fill="1F3864" w:color="auto" w:val="clear"/>
            <w:tcMar>
              <w:top w:type="dxa" w:w="60"/>
              <w:left w:type="dxa" w:w="80"/>
              <w:bottom w:type="dxa" w:w="60"/>
              <w:right w:type="dxa" w:w="80"/>
            </w:tcMar>
            <w:vAlign w:val="center"/>
          </w:tcPr>
          <w:p>
            <w:pPr>
              <w:spacing w:after="20" w:line="240"/>
            </w:pPr>
            <w:r>
              <w:rPr>
                <w:b/>
                <w:bCs/>
                <w:color w:val="FFFFFF"/>
                <w:sz w:val="18"/>
                <w:szCs w:val="18"/>
              </w:rPr>
              <w:t xml:space="preserve">Date</w:t>
            </w:r>
          </w:p>
        </w:tc>
        <w:tc>
          <w:tcPr>
            <w:tcW w:type="dxa" w:w="2347"/>
            <w:shd w:fill="1F3864" w:color="auto" w:val="clear"/>
            <w:tcMar>
              <w:top w:type="dxa" w:w="60"/>
              <w:left w:type="dxa" w:w="80"/>
              <w:bottom w:type="dxa" w:w="60"/>
              <w:right w:type="dxa" w:w="80"/>
            </w:tcMar>
            <w:vAlign w:val="center"/>
          </w:tcPr>
          <w:p>
            <w:pPr>
              <w:spacing w:after="20" w:line="240"/>
            </w:pPr>
            <w:r>
              <w:rPr>
                <w:b/>
                <w:bCs/>
                <w:color w:val="FFFFFF"/>
                <w:sz w:val="18"/>
                <w:szCs w:val="18"/>
              </w:rPr>
              <w:t xml:space="preserve">Author</w:t>
            </w:r>
          </w:p>
        </w:tc>
        <w:tc>
          <w:tcPr>
            <w:tcW w:type="dxa" w:w="4152"/>
            <w:shd w:fill="1F3864" w:color="auto" w:val="clear"/>
            <w:tcMar>
              <w:top w:type="dxa" w:w="60"/>
              <w:left w:type="dxa" w:w="80"/>
              <w:bottom w:type="dxa" w:w="60"/>
              <w:right w:type="dxa" w:w="80"/>
            </w:tcMar>
            <w:vAlign w:val="center"/>
          </w:tcPr>
          <w:p>
            <w:pPr>
              <w:spacing w:after="20" w:line="240"/>
            </w:pPr>
            <w:r>
              <w:rPr>
                <w:b/>
                <w:bCs/>
                <w:color w:val="FFFFFF"/>
                <w:sz w:val="18"/>
                <w:szCs w:val="18"/>
              </w:rPr>
              <w:t xml:space="preserve">Change summary</w:t>
            </w:r>
          </w:p>
        </w:tc>
      </w:tr>
      <w:tr>
        <w:tc>
          <w:tcPr>
            <w:tcW w:type="dxa" w:w="1083"/>
            <w:tcMar>
              <w:top w:type="dxa" w:w="50"/>
              <w:left w:type="dxa" w:w="80"/>
              <w:bottom w:type="dxa" w:w="50"/>
              <w:right w:type="dxa" w:w="80"/>
            </w:tcMar>
          </w:tcPr>
          <w:p>
            <w:pPr>
              <w:spacing w:after="20" w:line="240"/>
            </w:pPr>
            <w:r>
              <w:rPr>
                <w:sz w:val="18"/>
                <w:szCs w:val="18"/>
              </w:rPr>
              <w:t xml:space="preserve">0.1</w:t>
            </w:r>
          </w:p>
        </w:tc>
        <w:tc>
          <w:tcPr>
            <w:tcW w:type="dxa" w:w="1444"/>
            <w:tcMar>
              <w:top w:type="dxa" w:w="50"/>
              <w:left w:type="dxa" w:w="80"/>
              <w:bottom w:type="dxa" w:w="50"/>
              <w:right w:type="dxa" w:w="80"/>
            </w:tcMar>
          </w:tcPr>
          <w:p>
            <w:pPr>
              <w:spacing w:after="20" w:line="240"/>
            </w:pPr>
            <w:r>
              <w:rPr>
                <w:sz w:val="18"/>
                <w:szCs w:val="18"/>
              </w:rPr>
              <w:t xml:space="preserve">2026-05-12</w:t>
            </w:r>
          </w:p>
        </w:tc>
        <w:tc>
          <w:tcPr>
            <w:tcW w:type="dxa" w:w="2347"/>
            <w:tcMar>
              <w:top w:type="dxa" w:w="50"/>
              <w:left w:type="dxa" w:w="80"/>
              <w:bottom w:type="dxa" w:w="50"/>
              <w:right w:type="dxa" w:w="80"/>
            </w:tcMar>
          </w:tcPr>
          <w:p>
            <w:pPr>
              <w:spacing w:after="20" w:line="240"/>
            </w:pPr>
            <w:r>
              <w:rPr>
                <w:sz w:val="18"/>
                <w:szCs w:val="18"/>
              </w:rPr>
              <w:t xml:space="preserve">T&amp;S Operations</w:t>
            </w:r>
          </w:p>
        </w:tc>
        <w:tc>
          <w:tcPr>
            <w:tcW w:type="dxa" w:w="4152"/>
            <w:tcMar>
              <w:top w:type="dxa" w:w="50"/>
              <w:left w:type="dxa" w:w="80"/>
              <w:bottom w:type="dxa" w:w="50"/>
              <w:right w:type="dxa" w:w="80"/>
            </w:tcMar>
          </w:tcPr>
          <w:p>
            <w:pPr>
              <w:spacing w:after="20" w:line="240"/>
            </w:pPr>
            <w:r>
              <w:rPr>
                <w:sz w:val="18"/>
                <w:szCs w:val="18"/>
              </w:rPr>
              <w:t xml:space="preserve">Initial draft</w:t>
            </w:r>
          </w:p>
        </w:tc>
      </w:tr>
      <w:tr>
        <w:tc>
          <w:tcPr>
            <w:tcW w:type="dxa" w:w="1083"/>
            <w:shd w:fill="F2F6FB" w:color="auto" w:val="clear"/>
            <w:tcMar>
              <w:top w:type="dxa" w:w="50"/>
              <w:left w:type="dxa" w:w="80"/>
              <w:bottom w:type="dxa" w:w="50"/>
              <w:right w:type="dxa" w:w="80"/>
            </w:tcMar>
          </w:tcPr>
          <w:p>
            <w:pPr>
              <w:spacing w:after="20" w:line="240"/>
            </w:pPr>
            <w:r>
              <w:rPr>
                <w:sz w:val="18"/>
                <w:szCs w:val="18"/>
              </w:rPr>
              <w:t xml:space="preserve">0.9</w:t>
            </w:r>
          </w:p>
        </w:tc>
        <w:tc>
          <w:tcPr>
            <w:tcW w:type="dxa" w:w="1444"/>
            <w:shd w:fill="F2F6FB" w:color="auto" w:val="clear"/>
            <w:tcMar>
              <w:top w:type="dxa" w:w="50"/>
              <w:left w:type="dxa" w:w="80"/>
              <w:bottom w:type="dxa" w:w="50"/>
              <w:right w:type="dxa" w:w="80"/>
            </w:tcMar>
          </w:tcPr>
          <w:p>
            <w:pPr>
              <w:spacing w:after="20" w:line="240"/>
            </w:pPr>
            <w:r>
              <w:rPr>
                <w:sz w:val="18"/>
                <w:szCs w:val="18"/>
              </w:rPr>
              <w:t xml:space="preserve">2026-06-18</w:t>
            </w:r>
          </w:p>
        </w:tc>
        <w:tc>
          <w:tcPr>
            <w:tcW w:type="dxa" w:w="2347"/>
            <w:shd w:fill="F2F6FB" w:color="auto" w:val="clear"/>
            <w:tcMar>
              <w:top w:type="dxa" w:w="50"/>
              <w:left w:type="dxa" w:w="80"/>
              <w:bottom w:type="dxa" w:w="50"/>
              <w:right w:type="dxa" w:w="80"/>
            </w:tcMar>
          </w:tcPr>
          <w:p>
            <w:pPr>
              <w:spacing w:after="20" w:line="240"/>
            </w:pPr>
            <w:r>
              <w:rPr>
                <w:sz w:val="18"/>
                <w:szCs w:val="18"/>
              </w:rPr>
              <w:t xml:space="preserve">T&amp;S Operations</w:t>
            </w:r>
          </w:p>
        </w:tc>
        <w:tc>
          <w:tcPr>
            <w:tcW w:type="dxa" w:w="4152"/>
            <w:shd w:fill="F2F6FB" w:color="auto" w:val="clear"/>
            <w:tcMar>
              <w:top w:type="dxa" w:w="50"/>
              <w:left w:type="dxa" w:w="80"/>
              <w:bottom w:type="dxa" w:w="50"/>
              <w:right w:type="dxa" w:w="80"/>
            </w:tcMar>
          </w:tcPr>
          <w:p>
            <w:pPr>
              <w:spacing w:after="20" w:line="240"/>
            </w:pPr>
            <w:r>
              <w:rPr>
                <w:sz w:val="18"/>
                <w:szCs w:val="18"/>
              </w:rPr>
              <w:t xml:space="preserve">Incorporated Legal, Privacy, ML Engineering review</w:t>
            </w:r>
          </w:p>
        </w:tc>
      </w:tr>
      <w:tr>
        <w:tc>
          <w:tcPr>
            <w:tcW w:type="dxa" w:w="1083"/>
            <w:tcMar>
              <w:top w:type="dxa" w:w="50"/>
              <w:left w:type="dxa" w:w="80"/>
              <w:bottom w:type="dxa" w:w="50"/>
              <w:right w:type="dxa" w:w="80"/>
            </w:tcMar>
          </w:tcPr>
          <w:p>
            <w:pPr>
              <w:spacing w:after="20" w:line="240"/>
            </w:pPr>
            <w:r>
              <w:rPr>
                <w:sz w:val="18"/>
                <w:szCs w:val="18"/>
              </w:rPr>
              <w:t xml:space="preserve">1.0</w:t>
            </w:r>
          </w:p>
        </w:tc>
        <w:tc>
          <w:tcPr>
            <w:tcW w:type="dxa" w:w="1444"/>
            <w:tcMar>
              <w:top w:type="dxa" w:w="50"/>
              <w:left w:type="dxa" w:w="80"/>
              <w:bottom w:type="dxa" w:w="50"/>
              <w:right w:type="dxa" w:w="80"/>
            </w:tcMar>
          </w:tcPr>
          <w:p>
            <w:pPr>
              <w:spacing w:after="20" w:line="240"/>
            </w:pPr>
            <w:r>
              <w:rPr>
                <w:sz w:val="18"/>
                <w:szCs w:val="18"/>
              </w:rPr>
              <w:t xml:space="preserve">2026-07-07</w:t>
            </w:r>
          </w:p>
        </w:tc>
        <w:tc>
          <w:tcPr>
            <w:tcW w:type="dxa" w:w="2347"/>
            <w:tcMar>
              <w:top w:type="dxa" w:w="50"/>
              <w:left w:type="dxa" w:w="80"/>
              <w:bottom w:type="dxa" w:w="50"/>
              <w:right w:type="dxa" w:w="80"/>
            </w:tcMar>
          </w:tcPr>
          <w:p>
            <w:pPr>
              <w:spacing w:after="20" w:line="240"/>
            </w:pPr>
            <w:r>
              <w:rPr>
                <w:sz w:val="18"/>
                <w:szCs w:val="18"/>
              </w:rPr>
              <w:t xml:space="preserve">T&amp;S Operations</w:t>
            </w:r>
          </w:p>
        </w:tc>
        <w:tc>
          <w:tcPr>
            <w:tcW w:type="dxa" w:w="4152"/>
            <w:tcMar>
              <w:top w:type="dxa" w:w="50"/>
              <w:left w:type="dxa" w:w="80"/>
              <w:bottom w:type="dxa" w:w="50"/>
              <w:right w:type="dxa" w:w="80"/>
            </w:tcMar>
          </w:tcPr>
          <w:p>
            <w:pPr>
              <w:spacing w:after="20" w:line="240"/>
            </w:pPr>
            <w:r>
              <w:rPr>
                <w:sz w:val="18"/>
                <w:szCs w:val="18"/>
              </w:rPr>
              <w:t xml:space="preserve">Approved by CRO; effective</w:t>
            </w:r>
          </w:p>
        </w:tc>
      </w:tr>
      <w:tr>
        <w:tc>
          <w:tcPr>
            <w:tcW w:type="dxa" w:w="1083"/>
            <w:shd w:fill="F2F6FB" w:color="auto" w:val="clear"/>
            <w:tcMar>
              <w:top w:type="dxa" w:w="50"/>
              <w:left w:type="dxa" w:w="80"/>
              <w:bottom w:type="dxa" w:w="50"/>
              <w:right w:type="dxa" w:w="80"/>
            </w:tcMar>
          </w:tcPr>
          <w:p>
            <w:pPr>
              <w:spacing w:after="20" w:line="240"/>
            </w:pPr>
            <w:r>
              <w:rPr>
                <w:sz w:val="18"/>
                <w:szCs w:val="18"/>
              </w:rPr>
              <w:t xml:space="preserve">1.1</w:t>
            </w:r>
          </w:p>
        </w:tc>
        <w:tc>
          <w:tcPr>
            <w:tcW w:type="dxa" w:w="1444"/>
            <w:shd w:fill="F2F6FB" w:color="auto" w:val="clear"/>
            <w:tcMar>
              <w:top w:type="dxa" w:w="50"/>
              <w:left w:type="dxa" w:w="80"/>
              <w:bottom w:type="dxa" w:w="50"/>
              <w:right w:type="dxa" w:w="80"/>
            </w:tcMar>
          </w:tcPr>
          <w:p>
            <w:pPr>
              <w:spacing w:after="20" w:line="240"/>
            </w:pPr>
            <w:r>
              <w:rPr>
                <w:sz w:val="18"/>
                <w:szCs w:val="18"/>
              </w:rPr>
              <w:t xml:space="preserve">2026-07-07</w:t>
            </w:r>
          </w:p>
        </w:tc>
        <w:tc>
          <w:tcPr>
            <w:tcW w:type="dxa" w:w="2347"/>
            <w:shd w:fill="F2F6FB" w:color="auto" w:val="clear"/>
            <w:tcMar>
              <w:top w:type="dxa" w:w="50"/>
              <w:left w:type="dxa" w:w="80"/>
              <w:bottom w:type="dxa" w:w="50"/>
              <w:right w:type="dxa" w:w="80"/>
            </w:tcMar>
          </w:tcPr>
          <w:p>
            <w:pPr>
              <w:spacing w:after="20" w:line="240"/>
            </w:pPr>
            <w:r>
              <w:rPr>
                <w:sz w:val="18"/>
                <w:szCs w:val="18"/>
              </w:rPr>
              <w:t xml:space="preserve">T&amp;S Operations</w:t>
            </w:r>
          </w:p>
        </w:tc>
        <w:tc>
          <w:tcPr>
            <w:tcW w:type="dxa" w:w="4152"/>
            <w:shd w:fill="F2F6FB" w:color="auto" w:val="clear"/>
            <w:tcMar>
              <w:top w:type="dxa" w:w="50"/>
              <w:left w:type="dxa" w:w="80"/>
              <w:bottom w:type="dxa" w:w="50"/>
              <w:right w:type="dxa" w:w="80"/>
            </w:tcMar>
          </w:tcPr>
          <w:p>
            <w:pPr>
              <w:spacing w:after="20" w:line="240"/>
            </w:pPr>
            <w:r>
              <w:rPr>
                <w:sz w:val="18"/>
                <w:szCs w:val="18"/>
              </w:rPr>
              <w:t xml:space="preserve">Added Appendix E (tooling reference: Sentinel); clarified human ratification of automated triage (§6.2). No normative process change</w:t>
            </w:r>
          </w:p>
        </w:tc>
      </w:tr>
      <w:tr>
        <w:tc>
          <w:tcPr>
            <w:tcW w:type="dxa" w:w="1083"/>
            <w:tcMar>
              <w:top w:type="dxa" w:w="50"/>
              <w:left w:type="dxa" w:w="80"/>
              <w:bottom w:type="dxa" w:w="50"/>
              <w:right w:type="dxa" w:w="80"/>
            </w:tcMar>
          </w:tcPr>
          <w:p>
            <w:pPr>
              <w:spacing w:after="20" w:line="240"/>
            </w:pPr>
            <w:r>
              <w:rPr>
                <w:sz w:val="18"/>
                <w:szCs w:val="18"/>
              </w:rPr>
              <w:t xml:space="preserve">1.2</w:t>
            </w:r>
          </w:p>
        </w:tc>
        <w:tc>
          <w:tcPr>
            <w:tcW w:type="dxa" w:w="1444"/>
            <w:tcMar>
              <w:top w:type="dxa" w:w="50"/>
              <w:left w:type="dxa" w:w="80"/>
              <w:bottom w:type="dxa" w:w="50"/>
              <w:right w:type="dxa" w:w="80"/>
            </w:tcMar>
          </w:tcPr>
          <w:p>
            <w:pPr>
              <w:spacing w:after="20" w:line="240"/>
            </w:pPr>
            <w:r>
              <w:rPr>
                <w:sz w:val="18"/>
                <w:szCs w:val="18"/>
              </w:rPr>
              <w:t xml:space="preserve">2026-07-07</w:t>
            </w:r>
          </w:p>
        </w:tc>
        <w:tc>
          <w:tcPr>
            <w:tcW w:type="dxa" w:w="2347"/>
            <w:tcMar>
              <w:top w:type="dxa" w:w="50"/>
              <w:left w:type="dxa" w:w="80"/>
              <w:bottom w:type="dxa" w:w="50"/>
              <w:right w:type="dxa" w:w="80"/>
            </w:tcMar>
          </w:tcPr>
          <w:p>
            <w:pPr>
              <w:spacing w:after="20" w:line="240"/>
            </w:pPr>
            <w:r>
              <w:rPr>
                <w:sz w:val="18"/>
                <w:szCs w:val="18"/>
              </w:rPr>
              <w:t xml:space="preserve">T&amp;S Operations</w:t>
            </w:r>
          </w:p>
        </w:tc>
        <w:tc>
          <w:tcPr>
            <w:tcW w:type="dxa" w:w="4152"/>
            <w:tcMar>
              <w:top w:type="dxa" w:w="50"/>
              <w:left w:type="dxa" w:w="80"/>
              <w:bottom w:type="dxa" w:w="50"/>
              <w:right w:type="dxa" w:w="80"/>
            </w:tcMar>
          </w:tcPr>
          <w:p>
            <w:pPr>
              <w:spacing w:after="20" w:line="240"/>
            </w:pPr>
            <w:r>
              <w:rPr>
                <w:sz w:val="18"/>
                <w:szCs w:val="18"/>
              </w:rPr>
              <w:t xml:space="preserve">Incorporated external governance review: materiality thresholds (§1.3), Shadow AI scope, declaration &amp; decision authority (§3.4), severity calibration worksheet (§5.2), triage dispositions (§6.2), communication matrix (§6.3), containment SLAs, chain of custody and C7 supplement (§6.4), closure/reopening rules (§6.6), risk-register linkage (§6.7), program metrics (§7), runbook exemplar (Appendix F)</w:t>
            </w:r>
          </w:p>
        </w:tc>
      </w:tr>
    </w:tbl>
    <w:p>
      <w:pPr>
        <w:spacing w:after="120"/>
      </w:pPr>
    </w:p>
    <w:p>
      <w:pPr>
        <w:pStyle w:val="Heading1"/>
        <w:spacing w:after="160" w:before="340"/>
      </w:pPr>
      <w:r>
        <w:t xml:space="preserve">1. Purpose, Scope &amp; Definitions</w:t>
      </w:r>
    </w:p>
    <w:p>
      <w:pPr>
        <w:pStyle w:val="Heading2"/>
        <w:spacing w:after="120" w:before="260"/>
      </w:pPr>
      <w:r>
        <w:t xml:space="preserve">1.1 Purpose</w:t>
      </w:r>
    </w:p>
    <w:p>
      <w:pPr>
        <w:spacing w:after="120" w:line="276"/>
      </w:pPr>
      <w:r>
        <w:t xml:space="preserve">This playbook defines how Meridian detects, triages, contains, and learns from incidents involving its AI systems. It exists so that:</w:t>
      </w:r>
    </w:p>
    <w:p>
      <w:pPr>
        <w:pStyle w:val="ListParagraph"/>
        <w:numPr>
          <w:ilvl w:val="0"/>
          <w:numId w:val="2"/>
        </w:numPr>
        <w:spacing w:after="80" w:line="276"/>
      </w:pPr>
      <w:r>
        <w:t xml:space="preserve">Any responder can determine, within minutes, </w:t>
      </w:r>
      <w:r>
        <w:rPr>
          <w:b/>
          <w:bCs/>
        </w:rPr>
        <w:t xml:space="preserve">what kind of incident they are facing, how severe it is, and who owns the next action.</w:t>
      </w:r>
    </w:p>
    <w:p>
      <w:pPr>
        <w:pStyle w:val="ListParagraph"/>
        <w:numPr>
          <w:ilvl w:val="0"/>
          <w:numId w:val="2"/>
        </w:numPr>
        <w:spacing w:after="80" w:line="276"/>
      </w:pPr>
      <w:r>
        <w:t xml:space="preserve">AI incidents are handled with the same operational rigor as security and financial incidents — with SLAs, evidence preservation, and auditable records.</w:t>
      </w:r>
    </w:p>
    <w:p>
      <w:pPr>
        <w:pStyle w:val="ListParagraph"/>
        <w:numPr>
          <w:ilvl w:val="0"/>
          <w:numId w:val="2"/>
        </w:numPr>
        <w:spacing w:after="80" w:line="276"/>
      </w:pPr>
      <w:r>
        <w:t xml:space="preserve">Every incident feeds structured learning back into Meridian's AI risk management program, closing the loop required by NIST AI RMF (MANAGE → GOVERN/MAP) and ISO/IEC 42001 (Clause 10.2, corrective action).</w:t>
      </w:r>
    </w:p>
    <w:p>
      <w:pPr>
        <w:pStyle w:val="Heading2"/>
        <w:spacing w:after="120" w:before="260"/>
      </w:pPr>
      <w:r>
        <w:t xml:space="preserve">1.2 Systems in scope</w:t>
      </w:r>
    </w:p>
    <w:p>
      <w:pPr>
        <w:spacing w:after="120" w:line="276"/>
      </w:pPr>
      <w:r>
        <w:t xml:space="preserve">All production AI systems in the Model Inventory, currently: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73"/>
        <w:gridCol w:w="1986"/>
        <w:gridCol w:w="2527"/>
        <w:gridCol w:w="2437"/>
        <w:gridCol w:w="903"/>
      </w:tblGrid>
      <w:tr>
        <w:trPr>
          <w:tblHeader/>
        </w:trPr>
        <w:tc>
          <w:tcPr>
            <w:tcW w:type="dxa" w:w="1173"/>
            <w:shd w:fill="1F3864" w:color="auto" w:val="clear"/>
            <w:tcMar>
              <w:top w:type="dxa" w:w="60"/>
              <w:left w:type="dxa" w:w="80"/>
              <w:bottom w:type="dxa" w:w="60"/>
              <w:right w:type="dxa" w:w="80"/>
            </w:tcMar>
            <w:vAlign w:val="center"/>
          </w:tcPr>
          <w:p>
            <w:pPr>
              <w:spacing w:after="20" w:line="240"/>
            </w:pPr>
            <w:r>
              <w:rPr>
                <w:b/>
                <w:bCs/>
                <w:color w:val="FFFFFF"/>
                <w:sz w:val="18"/>
                <w:szCs w:val="18"/>
              </w:rPr>
              <w:t xml:space="preserve">System</w:t>
            </w:r>
          </w:p>
        </w:tc>
        <w:tc>
          <w:tcPr>
            <w:tcW w:type="dxa" w:w="1986"/>
            <w:shd w:fill="1F3864" w:color="auto" w:val="clear"/>
            <w:tcMar>
              <w:top w:type="dxa" w:w="60"/>
              <w:left w:type="dxa" w:w="80"/>
              <w:bottom w:type="dxa" w:w="60"/>
              <w:right w:type="dxa" w:w="80"/>
            </w:tcMar>
            <w:vAlign w:val="center"/>
          </w:tcPr>
          <w:p>
            <w:pPr>
              <w:spacing w:after="20" w:line="240"/>
            </w:pPr>
            <w:r>
              <w:rPr>
                <w:b/>
                <w:bCs/>
                <w:color w:val="FFFFFF"/>
                <w:sz w:val="18"/>
                <w:szCs w:val="18"/>
              </w:rPr>
              <w:t xml:space="preserve">Type</w:t>
            </w:r>
          </w:p>
        </w:tc>
        <w:tc>
          <w:tcPr>
            <w:tcW w:type="dxa" w:w="2527"/>
            <w:shd w:fill="1F3864" w:color="auto" w:val="clear"/>
            <w:tcMar>
              <w:top w:type="dxa" w:w="60"/>
              <w:left w:type="dxa" w:w="80"/>
              <w:bottom w:type="dxa" w:w="60"/>
              <w:right w:type="dxa" w:w="80"/>
            </w:tcMar>
            <w:vAlign w:val="center"/>
          </w:tcPr>
          <w:p>
            <w:pPr>
              <w:spacing w:after="20" w:line="240"/>
            </w:pPr>
            <w:r>
              <w:rPr>
                <w:b/>
                <w:bCs/>
                <w:color w:val="FFFFFF"/>
                <w:sz w:val="18"/>
                <w:szCs w:val="18"/>
              </w:rPr>
              <w:t xml:space="preserve">Function</w:t>
            </w:r>
          </w:p>
        </w:tc>
        <w:tc>
          <w:tcPr>
            <w:tcW w:type="dxa" w:w="2437"/>
            <w:shd w:fill="1F3864" w:color="auto" w:val="clear"/>
            <w:tcMar>
              <w:top w:type="dxa" w:w="60"/>
              <w:left w:type="dxa" w:w="80"/>
              <w:bottom w:type="dxa" w:w="60"/>
              <w:right w:type="dxa" w:w="80"/>
            </w:tcMar>
            <w:vAlign w:val="center"/>
          </w:tcPr>
          <w:p>
            <w:pPr>
              <w:spacing w:after="20" w:line="240"/>
            </w:pPr>
            <w:r>
              <w:rPr>
                <w:b/>
                <w:bCs/>
                <w:color w:val="FFFFFF"/>
                <w:sz w:val="18"/>
                <w:szCs w:val="18"/>
              </w:rPr>
              <w:t xml:space="preserve">Key dependencies</w:t>
            </w:r>
          </w:p>
        </w:tc>
        <w:tc>
          <w:tcPr>
            <w:tcW w:type="dxa" w:w="903"/>
            <w:shd w:fill="1F3864" w:color="auto" w:val="clear"/>
            <w:tcMar>
              <w:top w:type="dxa" w:w="60"/>
              <w:left w:type="dxa" w:w="80"/>
              <w:bottom w:type="dxa" w:w="60"/>
              <w:right w:type="dxa" w:w="80"/>
            </w:tcMar>
            <w:vAlign w:val="center"/>
          </w:tcPr>
          <w:p>
            <w:pPr>
              <w:spacing w:after="20" w:line="240"/>
            </w:pPr>
            <w:r>
              <w:rPr>
                <w:b/>
                <w:bCs/>
                <w:color w:val="FFFFFF"/>
                <w:sz w:val="18"/>
                <w:szCs w:val="18"/>
              </w:rPr>
              <w:t xml:space="preserve">Risk tier</w:t>
            </w:r>
          </w:p>
        </w:tc>
      </w:tr>
      <w:tr>
        <w:tc>
          <w:tcPr>
            <w:tcW w:type="dxa" w:w="1173"/>
            <w:tcMar>
              <w:top w:type="dxa" w:w="50"/>
              <w:left w:type="dxa" w:w="80"/>
              <w:bottom w:type="dxa" w:w="50"/>
              <w:right w:type="dxa" w:w="80"/>
            </w:tcMar>
          </w:tcPr>
          <w:p>
            <w:pPr>
              <w:spacing w:after="20" w:line="240"/>
            </w:pPr>
            <w:r>
              <w:rPr>
                <w:sz w:val="18"/>
                <w:szCs w:val="18"/>
              </w:rPr>
              <w:t xml:space="preserve">FALCON</w:t>
            </w:r>
          </w:p>
        </w:tc>
        <w:tc>
          <w:tcPr>
            <w:tcW w:type="dxa" w:w="1986"/>
            <w:tcMar>
              <w:top w:type="dxa" w:w="50"/>
              <w:left w:type="dxa" w:w="80"/>
              <w:bottom w:type="dxa" w:w="50"/>
              <w:right w:type="dxa" w:w="80"/>
            </w:tcMar>
          </w:tcPr>
          <w:p>
            <w:pPr>
              <w:spacing w:after="20" w:line="240"/>
            </w:pPr>
            <w:r>
              <w:rPr>
                <w:sz w:val="18"/>
                <w:szCs w:val="18"/>
              </w:rPr>
              <w:t xml:space="preserve">Supervised ML (in-house)</w:t>
            </w:r>
          </w:p>
        </w:tc>
        <w:tc>
          <w:tcPr>
            <w:tcW w:type="dxa" w:w="2527"/>
            <w:tcMar>
              <w:top w:type="dxa" w:w="50"/>
              <w:left w:type="dxa" w:w="80"/>
              <w:bottom w:type="dxa" w:w="50"/>
              <w:right w:type="dxa" w:w="80"/>
            </w:tcMar>
          </w:tcPr>
          <w:p>
            <w:pPr>
              <w:spacing w:after="20" w:line="240"/>
            </w:pPr>
            <w:r>
              <w:rPr>
                <w:sz w:val="18"/>
                <w:szCs w:val="18"/>
              </w:rPr>
              <w:t xml:space="preserve">Fraud &amp; AML transaction monitoring; can hold transactions and freeze accounts</w:t>
            </w:r>
          </w:p>
        </w:tc>
        <w:tc>
          <w:tcPr>
            <w:tcW w:type="dxa" w:w="2437"/>
            <w:tcMar>
              <w:top w:type="dxa" w:w="50"/>
              <w:left w:type="dxa" w:w="80"/>
              <w:bottom w:type="dxa" w:w="50"/>
              <w:right w:type="dxa" w:w="80"/>
            </w:tcMar>
          </w:tcPr>
          <w:p>
            <w:pPr>
              <w:spacing w:after="20" w:line="240"/>
            </w:pPr>
            <w:r>
              <w:rPr>
                <w:sz w:val="18"/>
                <w:szCs w:val="18"/>
              </w:rPr>
              <w:t xml:space="preserve">Feature store; transaction pipeline; training pipeline</w:t>
            </w:r>
          </w:p>
        </w:tc>
        <w:tc>
          <w:tcPr>
            <w:tcW w:type="dxa" w:w="903"/>
            <w:tcMar>
              <w:top w:type="dxa" w:w="50"/>
              <w:left w:type="dxa" w:w="80"/>
              <w:bottom w:type="dxa" w:w="50"/>
              <w:right w:type="dxa" w:w="80"/>
            </w:tcMar>
          </w:tcPr>
          <w:p>
            <w:pPr>
              <w:spacing w:after="20" w:line="240"/>
            </w:pPr>
            <w:r>
              <w:rPr>
                <w:sz w:val="18"/>
                <w:szCs w:val="18"/>
              </w:rPr>
              <w:t xml:space="preserve">High</w:t>
            </w:r>
          </w:p>
        </w:tc>
      </w:tr>
      <w:tr>
        <w:tc>
          <w:tcPr>
            <w:tcW w:type="dxa" w:w="1173"/>
            <w:shd w:fill="F2F6FB" w:color="auto" w:val="clear"/>
            <w:tcMar>
              <w:top w:type="dxa" w:w="50"/>
              <w:left w:type="dxa" w:w="80"/>
              <w:bottom w:type="dxa" w:w="50"/>
              <w:right w:type="dxa" w:w="80"/>
            </w:tcMar>
          </w:tcPr>
          <w:p>
            <w:pPr>
              <w:spacing w:after="20" w:line="240"/>
            </w:pPr>
            <w:r>
              <w:rPr>
                <w:sz w:val="18"/>
                <w:szCs w:val="18"/>
              </w:rPr>
              <w:t xml:space="preserve">ARIA</w:t>
            </w:r>
          </w:p>
        </w:tc>
        <w:tc>
          <w:tcPr>
            <w:tcW w:type="dxa" w:w="1986"/>
            <w:shd w:fill="F2F6FB" w:color="auto" w:val="clear"/>
            <w:tcMar>
              <w:top w:type="dxa" w:w="50"/>
              <w:left w:type="dxa" w:w="80"/>
              <w:bottom w:type="dxa" w:w="50"/>
              <w:right w:type="dxa" w:w="80"/>
            </w:tcMar>
          </w:tcPr>
          <w:p>
            <w:pPr>
              <w:spacing w:after="20" w:line="240"/>
            </w:pPr>
            <w:r>
              <w:rPr>
                <w:sz w:val="18"/>
                <w:szCs w:val="18"/>
              </w:rPr>
              <w:t xml:space="preserve">LLM assistant (third-party foundation model + RAG)</w:t>
            </w:r>
          </w:p>
        </w:tc>
        <w:tc>
          <w:tcPr>
            <w:tcW w:type="dxa" w:w="2527"/>
            <w:shd w:fill="F2F6FB" w:color="auto" w:val="clear"/>
            <w:tcMar>
              <w:top w:type="dxa" w:w="50"/>
              <w:left w:type="dxa" w:w="80"/>
              <w:bottom w:type="dxa" w:w="50"/>
              <w:right w:type="dxa" w:w="80"/>
            </w:tcMar>
          </w:tcPr>
          <w:p>
            <w:pPr>
              <w:spacing w:after="20" w:line="240"/>
            </w:pPr>
            <w:r>
              <w:rPr>
                <w:sz w:val="18"/>
                <w:szCs w:val="18"/>
              </w:rPr>
              <w:t xml:space="preserve">Customer support chat; account and product guidance</w:t>
            </w:r>
          </w:p>
        </w:tc>
        <w:tc>
          <w:tcPr>
            <w:tcW w:type="dxa" w:w="2437"/>
            <w:shd w:fill="F2F6FB" w:color="auto" w:val="clear"/>
            <w:tcMar>
              <w:top w:type="dxa" w:w="50"/>
              <w:left w:type="dxa" w:w="80"/>
              <w:bottom w:type="dxa" w:w="50"/>
              <w:right w:type="dxa" w:w="80"/>
            </w:tcMar>
          </w:tcPr>
          <w:p>
            <w:pPr>
              <w:spacing w:after="20" w:line="240"/>
            </w:pPr>
            <w:r>
              <w:rPr>
                <w:sz w:val="18"/>
                <w:szCs w:val="18"/>
              </w:rPr>
              <w:t xml:space="preserve">Foundation-model provider API; RAG index / vector DB; account-lookup tools; auth service</w:t>
            </w:r>
          </w:p>
        </w:tc>
        <w:tc>
          <w:tcPr>
            <w:tcW w:type="dxa" w:w="903"/>
            <w:shd w:fill="F2F6FB" w:color="auto" w:val="clear"/>
            <w:tcMar>
              <w:top w:type="dxa" w:w="50"/>
              <w:left w:type="dxa" w:w="80"/>
              <w:bottom w:type="dxa" w:w="50"/>
              <w:right w:type="dxa" w:w="80"/>
            </w:tcMar>
          </w:tcPr>
          <w:p>
            <w:pPr>
              <w:spacing w:after="20" w:line="240"/>
            </w:pPr>
            <w:r>
              <w:rPr>
                <w:sz w:val="18"/>
                <w:szCs w:val="18"/>
              </w:rPr>
              <w:t xml:space="preserve">High</w:t>
            </w:r>
          </w:p>
        </w:tc>
      </w:tr>
      <w:tr>
        <w:tc>
          <w:tcPr>
            <w:tcW w:type="dxa" w:w="1173"/>
            <w:tcMar>
              <w:top w:type="dxa" w:w="50"/>
              <w:left w:type="dxa" w:w="80"/>
              <w:bottom w:type="dxa" w:w="50"/>
              <w:right w:type="dxa" w:w="80"/>
            </w:tcMar>
          </w:tcPr>
          <w:p>
            <w:pPr>
              <w:spacing w:after="20" w:line="240"/>
            </w:pPr>
            <w:r>
              <w:rPr>
                <w:sz w:val="18"/>
                <w:szCs w:val="18"/>
              </w:rPr>
              <w:t xml:space="preserve">KYC-Vision</w:t>
            </w:r>
          </w:p>
        </w:tc>
        <w:tc>
          <w:tcPr>
            <w:tcW w:type="dxa" w:w="1986"/>
            <w:tcMar>
              <w:top w:type="dxa" w:w="50"/>
              <w:left w:type="dxa" w:w="80"/>
              <w:bottom w:type="dxa" w:w="50"/>
              <w:right w:type="dxa" w:w="80"/>
            </w:tcMar>
          </w:tcPr>
          <w:p>
            <w:pPr>
              <w:spacing w:after="20" w:line="240"/>
            </w:pPr>
            <w:r>
              <w:rPr>
                <w:sz w:val="18"/>
                <w:szCs w:val="18"/>
              </w:rPr>
              <w:t xml:space="preserve">Vendor ML service</w:t>
            </w:r>
          </w:p>
        </w:tc>
        <w:tc>
          <w:tcPr>
            <w:tcW w:type="dxa" w:w="2527"/>
            <w:tcMar>
              <w:top w:type="dxa" w:w="50"/>
              <w:left w:type="dxa" w:w="80"/>
              <w:bottom w:type="dxa" w:w="50"/>
              <w:right w:type="dxa" w:w="80"/>
            </w:tcMar>
          </w:tcPr>
          <w:p>
            <w:pPr>
              <w:spacing w:after="20" w:line="240"/>
            </w:pPr>
            <w:r>
              <w:rPr>
                <w:sz w:val="18"/>
                <w:szCs w:val="18"/>
              </w:rPr>
              <w:t xml:space="preserve">Identity document verification during onboarding</w:t>
            </w:r>
          </w:p>
        </w:tc>
        <w:tc>
          <w:tcPr>
            <w:tcW w:type="dxa" w:w="2437"/>
            <w:tcMar>
              <w:top w:type="dxa" w:w="50"/>
              <w:left w:type="dxa" w:w="80"/>
              <w:bottom w:type="dxa" w:w="50"/>
              <w:right w:type="dxa" w:w="80"/>
            </w:tcMar>
          </w:tcPr>
          <w:p>
            <w:pPr>
              <w:spacing w:after="20" w:line="240"/>
            </w:pPr>
            <w:r>
              <w:rPr>
                <w:sz w:val="18"/>
                <w:szCs w:val="18"/>
              </w:rPr>
              <w:t xml:space="preserve">Vendor API; document ingestion pipeline</w:t>
            </w:r>
          </w:p>
        </w:tc>
        <w:tc>
          <w:tcPr>
            <w:tcW w:type="dxa" w:w="903"/>
            <w:tcMar>
              <w:top w:type="dxa" w:w="50"/>
              <w:left w:type="dxa" w:w="80"/>
              <w:bottom w:type="dxa" w:w="50"/>
              <w:right w:type="dxa" w:w="80"/>
            </w:tcMar>
          </w:tcPr>
          <w:p>
            <w:pPr>
              <w:spacing w:after="20" w:line="240"/>
            </w:pPr>
            <w:r>
              <w:rPr>
                <w:sz w:val="18"/>
                <w:szCs w:val="18"/>
              </w:rPr>
              <w:t xml:space="preserve">High</w:t>
            </w:r>
          </w:p>
        </w:tc>
      </w:tr>
    </w:tbl>
    <w:p>
      <w:pPr>
        <w:spacing w:after="120"/>
      </w:pPr>
    </w:p>
    <w:p>
      <w:pPr>
        <w:pBdr>
          <w:left w:val="single" w:color="2E5496" w:sz="12" w:space="8"/>
        </w:pBdr>
        <w:spacing w:after="160"/>
        <w:ind w:left="240"/>
      </w:pPr>
      <w:r>
        <w:rPr>
          <w:i/>
          <w:iCs/>
          <w:color w:val="6B6B6B"/>
          <w:sz w:val="20"/>
          <w:szCs w:val="20"/>
        </w:rPr>
        <w:t xml:space="preserve">The dependency column exists for impact analysis: a C7 incident in any listed dependency inherits the risk tier of the systems that depend on it.</w:t>
      </w:r>
    </w:p>
    <w:p>
      <w:pPr>
        <w:pStyle w:val="Heading2"/>
        <w:spacing w:after="120" w:before="260"/>
      </w:pPr>
      <w:r>
        <w:t xml:space="preserve">1.3 What is an AI incident?</w:t>
      </w:r>
    </w:p>
    <w:p>
      <w:pPr>
        <w:spacing w:after="120" w:line="276"/>
      </w:pPr>
      <w:r>
        <w:t xml:space="preserve">An </w:t>
      </w:r>
      <w:r>
        <w:rPr>
          <w:b/>
          <w:bCs/>
        </w:rPr>
        <w:t xml:space="preserve">AI incident</w:t>
      </w:r>
      <w:r>
        <w:t xml:space="preserve"> is any event where an AI system's behavior, data, or availability causes or credibly threatens harm to users, the organization, or third parties — including harmful or policy-violating outputs, discriminatory outcomes, privacy exposure, security compromise of the model or its pipeline, and material performance failure.</w:t>
      </w:r>
    </w:p>
    <w:p>
      <w:pPr>
        <w:spacing w:after="120" w:line="276"/>
      </w:pPr>
      <w:r>
        <w:t xml:space="preserve">Four boundary rules keep this definition operational:</w:t>
      </w:r>
    </w:p>
    <w:p>
      <w:pPr>
        <w:pStyle w:val="ListParagraph"/>
        <w:numPr>
          <w:ilvl w:val="0"/>
          <w:numId w:val="3"/>
        </w:numPr>
        <w:spacing w:after="80" w:line="276"/>
      </w:pPr>
      <w:r>
        <w:rPr>
          <w:b/>
          <w:bCs/>
        </w:rPr>
        <w:t xml:space="preserve">AI incidents often arrive disguised as ordinary tickets.</w:t>
      </w:r>
      <w:r>
        <w:t xml:space="preserve"> A cluster of support complaints (“the bot told me to send funds to this address”), a spike in false-positive account freezes, or a chargeback anomaly may all be AI incidents. Triage (§6.2) explicitly asks: </w:t>
      </w:r>
      <w:r>
        <w:rPr>
          <w:i/>
          <w:iCs/>
        </w:rPr>
        <w:t xml:space="preserve">is an AI system in the causal chain?</w:t>
      </w:r>
    </w:p>
    <w:p>
      <w:pPr>
        <w:pStyle w:val="ListParagraph"/>
        <w:numPr>
          <w:ilvl w:val="0"/>
          <w:numId w:val="3"/>
        </w:numPr>
        <w:spacing w:after="80" w:line="276"/>
      </w:pPr>
      <w:r>
        <w:rPr>
          <w:b/>
          <w:bCs/>
        </w:rPr>
        <w:t xml:space="preserve">Dual-track incidents run under both plans.</w:t>
      </w:r>
      <w:r>
        <w:t xml:space="preserve"> If an AI incident is also a security breach or personal-data breach, this playbook governs the AI-specific response (model containment, behavioral RCA) while the Enterprise IR Plan and Data Breach Procedure govern their domains. One Incident Commander coordinates both tracks — never two parallel commands.</w:t>
      </w:r>
    </w:p>
    <w:p>
      <w:pPr>
        <w:pStyle w:val="ListParagraph"/>
        <w:numPr>
          <w:ilvl w:val="0"/>
          <w:numId w:val="3"/>
        </w:numPr>
        <w:spacing w:after="80" w:line="276"/>
      </w:pPr>
      <w:r>
        <w:rPr>
          <w:b/>
          <w:bCs/>
        </w:rPr>
        <w:t xml:space="preserve">Near-misses are in scope.</w:t>
      </w:r>
      <w:r>
        <w:t xml:space="preserve"> An event caught before user impact (e.g., red-team discovers a jailbreak pre-release, a guardrail catches a harmful output) is logged as a near-miss (SEV-4-NM, §5.3) and receives a lightweight review. Near-misses are the cheapest learning the program gets.</w:t>
      </w:r>
    </w:p>
    <w:p>
      <w:pPr>
        <w:pStyle w:val="ListParagraph"/>
        <w:numPr>
          <w:ilvl w:val="0"/>
          <w:numId w:val="3"/>
        </w:numPr>
        <w:spacing w:after="80" w:line="276"/>
      </w:pPr>
      <w:r>
        <w:rPr>
          <w:b/>
          <w:bCs/>
        </w:rPr>
        <w:t xml:space="preserve">Unsanctioned AI use (“Shadow AI”) is in scope.</w:t>
      </w:r>
      <w:r>
        <w:t xml:space="preserve"> An incident caused by an AI system </w:t>
      </w:r>
      <w:r>
        <w:rPr>
          <w:i/>
          <w:iCs/>
        </w:rPr>
        <w:t xml:space="preserve">outside</w:t>
      </w:r>
      <w:r>
        <w:t xml:space="preserve"> the Model Inventory — e.g., an employee pasting customer data into an unapproved external AI tool, or a team quietly wiring a third-party model into a workflow — is handled under this playbook (classified normally; most often C3) and additionally triggers an inventory action: the AI Governance Lead is accountable for bringing the tool into governance or blocking it, and the gap in inventory controls becomes a mandatory PIR finding.</w:t>
      </w:r>
    </w:p>
    <w:p>
      <w:pPr>
        <w:spacing w:after="120" w:line="276"/>
      </w:pPr>
      <w:r>
        <w:rPr>
          <w:b/>
          <w:bCs/>
        </w:rPr>
        <w:t xml:space="preserve">Materiality thresholds.</w:t>
      </w:r>
      <w:r>
        <w:t xml:space="preserve"> “Material” and “credibly threatens” are operationalized as per-system monitoring thresholds; crossing one creates an intake record — an </w:t>
      </w:r>
      <w:r>
        <w:rPr>
          <w:i/>
          <w:iCs/>
        </w:rPr>
        <w:t xml:space="preserve">incident candidate</w:t>
      </w:r>
      <w:r>
        <w:t xml:space="preserve"> (§3.4, §6.2) — never silently. Illustrative defaults: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596"/>
        <w:gridCol w:w="3430"/>
      </w:tblGrid>
      <w:tr>
        <w:trPr>
          <w:tblHeader/>
        </w:trPr>
        <w:tc>
          <w:tcPr>
            <w:tcW w:type="dxa" w:w="5596"/>
            <w:shd w:fill="1F3864" w:color="auto" w:val="clear"/>
            <w:tcMar>
              <w:top w:type="dxa" w:w="60"/>
              <w:left w:type="dxa" w:w="80"/>
              <w:bottom w:type="dxa" w:w="60"/>
              <w:right w:type="dxa" w:w="80"/>
            </w:tcMar>
            <w:vAlign w:val="center"/>
          </w:tcPr>
          <w:p>
            <w:pPr>
              <w:spacing w:after="20" w:line="240"/>
            </w:pPr>
            <w:r>
              <w:rPr>
                <w:b/>
                <w:bCs/>
                <w:color w:val="FFFFFF"/>
                <w:sz w:val="18"/>
                <w:szCs w:val="18"/>
              </w:rPr>
              <w:t xml:space="preserve">Signal</w:t>
            </w:r>
          </w:p>
        </w:tc>
        <w:tc>
          <w:tcPr>
            <w:tcW w:type="dxa" w:w="3430"/>
            <w:shd w:fill="1F3864" w:color="auto" w:val="clear"/>
            <w:tcMar>
              <w:top w:type="dxa" w:w="60"/>
              <w:left w:type="dxa" w:w="80"/>
              <w:bottom w:type="dxa" w:w="60"/>
              <w:right w:type="dxa" w:w="80"/>
            </w:tcMar>
            <w:vAlign w:val="center"/>
          </w:tcPr>
          <w:p>
            <w:pPr>
              <w:spacing w:after="20" w:line="240"/>
            </w:pPr>
            <w:r>
              <w:rPr>
                <w:b/>
                <w:bCs/>
                <w:color w:val="FFFFFF"/>
                <w:sz w:val="18"/>
                <w:szCs w:val="18"/>
              </w:rPr>
              <w:t xml:space="preserve">Default trigger threshold</w:t>
            </w:r>
          </w:p>
        </w:tc>
      </w:tr>
      <w:tr>
        <w:tc>
          <w:tcPr>
            <w:tcW w:type="dxa" w:w="5596"/>
            <w:tcMar>
              <w:top w:type="dxa" w:w="50"/>
              <w:left w:type="dxa" w:w="80"/>
              <w:bottom w:type="dxa" w:w="50"/>
              <w:right w:type="dxa" w:w="80"/>
            </w:tcMar>
          </w:tcPr>
          <w:p>
            <w:pPr>
              <w:spacing w:after="20" w:line="240"/>
            </w:pPr>
            <w:r>
              <w:rPr>
                <w:sz w:val="18"/>
                <w:szCs w:val="18"/>
              </w:rPr>
              <w:t xml:space="preserve">Validated harmful or policy-violating output reaching a user</w:t>
            </w:r>
          </w:p>
        </w:tc>
        <w:tc>
          <w:tcPr>
            <w:tcW w:type="dxa" w:w="3430"/>
            <w:tcMar>
              <w:top w:type="dxa" w:w="50"/>
              <w:left w:type="dxa" w:w="80"/>
              <w:bottom w:type="dxa" w:w="50"/>
              <w:right w:type="dxa" w:w="80"/>
            </w:tcMar>
          </w:tcPr>
          <w:p>
            <w:pPr>
              <w:spacing w:after="20" w:line="240"/>
            </w:pPr>
            <w:r>
              <w:rPr>
                <w:sz w:val="18"/>
                <w:szCs w:val="18"/>
              </w:rPr>
              <w:t xml:space="preserve">Any single occurrence</w:t>
            </w:r>
          </w:p>
        </w:tc>
      </w:tr>
      <w:tr>
        <w:tc>
          <w:tcPr>
            <w:tcW w:type="dxa" w:w="5596"/>
            <w:shd w:fill="F2F6FB" w:color="auto" w:val="clear"/>
            <w:tcMar>
              <w:top w:type="dxa" w:w="50"/>
              <w:left w:type="dxa" w:w="80"/>
              <w:bottom w:type="dxa" w:w="50"/>
              <w:right w:type="dxa" w:w="80"/>
            </w:tcMar>
          </w:tcPr>
          <w:p>
            <w:pPr>
              <w:spacing w:after="20" w:line="240"/>
            </w:pPr>
            <w:r>
              <w:rPr>
                <w:sz w:val="18"/>
                <w:szCs w:val="18"/>
              </w:rPr>
              <w:t xml:space="preserve">False-positive rate on automated holds/freezes (FALCON)</w:t>
            </w:r>
          </w:p>
        </w:tc>
        <w:tc>
          <w:tcPr>
            <w:tcW w:type="dxa" w:w="3430"/>
            <w:shd w:fill="F2F6FB" w:color="auto" w:val="clear"/>
            <w:tcMar>
              <w:top w:type="dxa" w:w="50"/>
              <w:left w:type="dxa" w:w="80"/>
              <w:bottom w:type="dxa" w:w="50"/>
              <w:right w:type="dxa" w:w="80"/>
            </w:tcMar>
          </w:tcPr>
          <w:p>
            <w:pPr>
              <w:spacing w:after="20" w:line="240"/>
            </w:pPr>
            <w:r>
              <w:rPr>
                <w:sz w:val="18"/>
                <w:szCs w:val="18"/>
              </w:rPr>
              <w:t xml:space="preserve">&gt; 20% over 7-day baseline</w:t>
            </w:r>
          </w:p>
        </w:tc>
      </w:tr>
      <w:tr>
        <w:tc>
          <w:tcPr>
            <w:tcW w:type="dxa" w:w="5596"/>
            <w:tcMar>
              <w:top w:type="dxa" w:w="50"/>
              <w:left w:type="dxa" w:w="80"/>
              <w:bottom w:type="dxa" w:w="50"/>
              <w:right w:type="dxa" w:w="80"/>
            </w:tcMar>
          </w:tcPr>
          <w:p>
            <w:pPr>
              <w:spacing w:after="20" w:line="240"/>
            </w:pPr>
            <w:r>
              <w:rPr>
                <w:sz w:val="18"/>
                <w:szCs w:val="18"/>
              </w:rPr>
              <w:t xml:space="preserve">Accuracy/precision on golden evaluation set</w:t>
            </w:r>
          </w:p>
        </w:tc>
        <w:tc>
          <w:tcPr>
            <w:tcW w:type="dxa" w:w="3430"/>
            <w:tcMar>
              <w:top w:type="dxa" w:w="50"/>
              <w:left w:type="dxa" w:w="80"/>
              <w:bottom w:type="dxa" w:w="50"/>
              <w:right w:type="dxa" w:w="80"/>
            </w:tcMar>
          </w:tcPr>
          <w:p>
            <w:pPr>
              <w:spacing w:after="20" w:line="240"/>
            </w:pPr>
            <w:r>
              <w:rPr>
                <w:sz w:val="18"/>
                <w:szCs w:val="18"/>
              </w:rPr>
              <w:t xml:space="preserve">&gt; 5 pp degradation</w:t>
            </w:r>
          </w:p>
        </w:tc>
      </w:tr>
      <w:tr>
        <w:tc>
          <w:tcPr>
            <w:tcW w:type="dxa" w:w="5596"/>
            <w:shd w:fill="F2F6FB" w:color="auto" w:val="clear"/>
            <w:tcMar>
              <w:top w:type="dxa" w:w="50"/>
              <w:left w:type="dxa" w:w="80"/>
              <w:bottom w:type="dxa" w:w="50"/>
              <w:right w:type="dxa" w:w="80"/>
            </w:tcMar>
          </w:tcPr>
          <w:p>
            <w:pPr>
              <w:spacing w:after="20" w:line="240"/>
            </w:pPr>
            <w:r>
              <w:rPr>
                <w:sz w:val="18"/>
                <w:szCs w:val="18"/>
              </w:rPr>
              <w:t xml:space="preserve">Latency / availability</w:t>
            </w:r>
          </w:p>
        </w:tc>
        <w:tc>
          <w:tcPr>
            <w:tcW w:type="dxa" w:w="3430"/>
            <w:shd w:fill="F2F6FB" w:color="auto" w:val="clear"/>
            <w:tcMar>
              <w:top w:type="dxa" w:w="50"/>
              <w:left w:type="dxa" w:w="80"/>
              <w:bottom w:type="dxa" w:w="50"/>
              <w:right w:type="dxa" w:w="80"/>
            </w:tcMar>
          </w:tcPr>
          <w:p>
            <w:pPr>
              <w:spacing w:after="20" w:line="240"/>
            </w:pPr>
            <w:r>
              <w:rPr>
                <w:sz w:val="18"/>
                <w:szCs w:val="18"/>
              </w:rPr>
              <w:t xml:space="preserve">&gt; 2× baseline p95, or SLO breach</w:t>
            </w:r>
          </w:p>
        </w:tc>
      </w:tr>
      <w:tr>
        <w:tc>
          <w:tcPr>
            <w:tcW w:type="dxa" w:w="5596"/>
            <w:tcMar>
              <w:top w:type="dxa" w:w="50"/>
              <w:left w:type="dxa" w:w="80"/>
              <w:bottom w:type="dxa" w:w="50"/>
              <w:right w:type="dxa" w:w="80"/>
            </w:tcMar>
          </w:tcPr>
          <w:p>
            <w:pPr>
              <w:spacing w:after="20" w:line="240"/>
            </w:pPr>
            <w:r>
              <w:rPr>
                <w:sz w:val="18"/>
                <w:szCs w:val="18"/>
              </w:rPr>
              <w:t xml:space="preserve">Guardrail block rate (ARIA)</w:t>
            </w:r>
          </w:p>
        </w:tc>
        <w:tc>
          <w:tcPr>
            <w:tcW w:type="dxa" w:w="3430"/>
            <w:tcMar>
              <w:top w:type="dxa" w:w="50"/>
              <w:left w:type="dxa" w:w="80"/>
              <w:bottom w:type="dxa" w:w="50"/>
              <w:right w:type="dxa" w:w="80"/>
            </w:tcMar>
          </w:tcPr>
          <w:p>
            <w:pPr>
              <w:spacing w:after="20" w:line="240"/>
            </w:pPr>
            <w:r>
              <w:rPr>
                <w:sz w:val="18"/>
                <w:szCs w:val="18"/>
              </w:rPr>
              <w:t xml:space="preserve">&gt; 3× daily baseline</w:t>
            </w:r>
          </w:p>
        </w:tc>
      </w:tr>
      <w:tr>
        <w:tc>
          <w:tcPr>
            <w:tcW w:type="dxa" w:w="5596"/>
            <w:shd w:fill="F2F6FB" w:color="auto" w:val="clear"/>
            <w:tcMar>
              <w:top w:type="dxa" w:w="50"/>
              <w:left w:type="dxa" w:w="80"/>
              <w:bottom w:type="dxa" w:w="50"/>
              <w:right w:type="dxa" w:w="80"/>
            </w:tcMar>
          </w:tcPr>
          <w:p>
            <w:pPr>
              <w:spacing w:after="20" w:line="240"/>
            </w:pPr>
            <w:r>
              <w:rPr>
                <w:sz w:val="18"/>
                <w:szCs w:val="18"/>
              </w:rPr>
              <w:t xml:space="preserve">Outcome disparity across monitored segments (C5)</w:t>
            </w:r>
          </w:p>
        </w:tc>
        <w:tc>
          <w:tcPr>
            <w:tcW w:type="dxa" w:w="3430"/>
            <w:shd w:fill="F2F6FB" w:color="auto" w:val="clear"/>
            <w:tcMar>
              <w:top w:type="dxa" w:w="50"/>
              <w:left w:type="dxa" w:w="80"/>
              <w:bottom w:type="dxa" w:w="50"/>
              <w:right w:type="dxa" w:w="80"/>
            </w:tcMar>
          </w:tcPr>
          <w:p>
            <w:pPr>
              <w:spacing w:after="20" w:line="240"/>
            </w:pPr>
            <w:r>
              <w:rPr>
                <w:sz w:val="18"/>
                <w:szCs w:val="18"/>
              </w:rPr>
              <w:t xml:space="preserve">Outside the control band defined per system</w:t>
            </w:r>
          </w:p>
        </w:tc>
      </w:tr>
    </w:tbl>
    <w:p>
      <w:pPr>
        <w:spacing w:after="120"/>
      </w:pPr>
    </w:p>
    <w:p>
      <w:pPr>
        <w:pBdr>
          <w:left w:val="single" w:color="2E5496" w:sz="12" w:space="8"/>
        </w:pBdr>
        <w:spacing w:after="160"/>
        <w:ind w:left="240"/>
      </w:pPr>
      <w:r>
        <w:rPr>
          <w:i/>
          <w:iCs/>
          <w:color w:val="6B6B6B"/>
          <w:sz w:val="20"/>
          <w:szCs w:val="20"/>
        </w:rPr>
        <w:t xml:space="preserve">Actual values are calibrated per system in the Model Inventory monitoring configuration and reviewed quarterly by the AI Incident Review Board — thresholds hard-coded in a policy document drift out of date; the obligation here is that thresholds exist, are documented, and alert into intake.</w:t>
      </w:r>
    </w:p>
    <w:p>
      <w:pPr>
        <w:pStyle w:val="Heading2"/>
        <w:spacing w:after="120" w:before="260"/>
      </w:pPr>
      <w:r>
        <w:t xml:space="preserve">1.4 Definitions &amp; abbreviations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47"/>
        <w:gridCol w:w="6679"/>
      </w:tblGrid>
      <w:tr>
        <w:trPr>
          <w:tblHeader/>
        </w:trPr>
        <w:tc>
          <w:tcPr>
            <w:tcW w:type="dxa" w:w="2347"/>
            <w:shd w:fill="1F3864" w:color="auto" w:val="clear"/>
            <w:tcMar>
              <w:top w:type="dxa" w:w="60"/>
              <w:left w:type="dxa" w:w="80"/>
              <w:bottom w:type="dxa" w:w="60"/>
              <w:right w:type="dxa" w:w="80"/>
            </w:tcMar>
            <w:vAlign w:val="center"/>
          </w:tcPr>
          <w:p>
            <w:pPr>
              <w:spacing w:after="20" w:line="240"/>
            </w:pPr>
            <w:r>
              <w:rPr>
                <w:b/>
                <w:bCs/>
                <w:color w:val="FFFFFF"/>
                <w:sz w:val="18"/>
                <w:szCs w:val="18"/>
              </w:rPr>
              <w:t xml:space="preserve">Term</w:t>
            </w:r>
          </w:p>
        </w:tc>
        <w:tc>
          <w:tcPr>
            <w:tcW w:type="dxa" w:w="6679"/>
            <w:shd w:fill="1F3864" w:color="auto" w:val="clear"/>
            <w:tcMar>
              <w:top w:type="dxa" w:w="60"/>
              <w:left w:type="dxa" w:w="80"/>
              <w:bottom w:type="dxa" w:w="60"/>
              <w:right w:type="dxa" w:w="80"/>
            </w:tcMar>
            <w:vAlign w:val="center"/>
          </w:tcPr>
          <w:p>
            <w:pPr>
              <w:spacing w:after="20" w:line="240"/>
            </w:pPr>
            <w:r>
              <w:rPr>
                <w:b/>
                <w:bCs/>
                <w:color w:val="FFFFFF"/>
                <w:sz w:val="18"/>
                <w:szCs w:val="18"/>
              </w:rPr>
              <w:t xml:space="preserve">Definition</w:t>
            </w:r>
          </w:p>
        </w:tc>
      </w:tr>
      <w:tr>
        <w:tc>
          <w:tcPr>
            <w:tcW w:type="dxa" w:w="2347"/>
            <w:tcMar>
              <w:top w:type="dxa" w:w="50"/>
              <w:left w:type="dxa" w:w="80"/>
              <w:bottom w:type="dxa" w:w="50"/>
              <w:right w:type="dxa" w:w="80"/>
            </w:tcMar>
          </w:tcPr>
          <w:p>
            <w:pPr>
              <w:spacing w:after="20" w:line="240"/>
            </w:pPr>
            <w:r>
              <w:rPr>
                <w:sz w:val="18"/>
                <w:szCs w:val="18"/>
              </w:rPr>
              <w:t xml:space="preserve">AI system</w:t>
            </w:r>
          </w:p>
        </w:tc>
        <w:tc>
          <w:tcPr>
            <w:tcW w:type="dxa" w:w="6679"/>
            <w:tcMar>
              <w:top w:type="dxa" w:w="50"/>
              <w:left w:type="dxa" w:w="80"/>
              <w:bottom w:type="dxa" w:w="50"/>
              <w:right w:type="dxa" w:w="80"/>
            </w:tcMar>
          </w:tcPr>
          <w:p>
            <w:pPr>
              <w:spacing w:after="20" w:line="240"/>
            </w:pPr>
            <w:r>
              <w:rPr>
                <w:sz w:val="18"/>
                <w:szCs w:val="18"/>
              </w:rPr>
              <w:t xml:space="preserve">Any production system that includes a machine-learned model or LLM in its decision or output path, including vendor-provided services.</w:t>
            </w:r>
          </w:p>
        </w:tc>
      </w:tr>
      <w:tr>
        <w:tc>
          <w:tcPr>
            <w:tcW w:type="dxa" w:w="2347"/>
            <w:shd w:fill="F2F6FB" w:color="auto" w:val="clear"/>
            <w:tcMar>
              <w:top w:type="dxa" w:w="50"/>
              <w:left w:type="dxa" w:w="80"/>
              <w:bottom w:type="dxa" w:w="50"/>
              <w:right w:type="dxa" w:w="80"/>
            </w:tcMar>
          </w:tcPr>
          <w:p>
            <w:pPr>
              <w:spacing w:after="20" w:line="240"/>
            </w:pPr>
            <w:r>
              <w:rPr>
                <w:sz w:val="18"/>
                <w:szCs w:val="18"/>
              </w:rPr>
              <w:t xml:space="preserve">Incident Commander (IC)</w:t>
            </w:r>
          </w:p>
        </w:tc>
        <w:tc>
          <w:tcPr>
            <w:tcW w:type="dxa" w:w="6679"/>
            <w:shd w:fill="F2F6FB" w:color="auto" w:val="clear"/>
            <w:tcMar>
              <w:top w:type="dxa" w:w="50"/>
              <w:left w:type="dxa" w:w="80"/>
              <w:bottom w:type="dxa" w:w="50"/>
              <w:right w:type="dxa" w:w="80"/>
            </w:tcMar>
          </w:tcPr>
          <w:p>
            <w:pPr>
              <w:spacing w:after="20" w:line="240"/>
            </w:pPr>
            <w:r>
              <w:rPr>
                <w:sz w:val="18"/>
                <w:szCs w:val="18"/>
              </w:rPr>
              <w:t xml:space="preserve">The single accountable coordinator of an incident from declaration to closure.</w:t>
            </w:r>
          </w:p>
        </w:tc>
      </w:tr>
      <w:tr>
        <w:tc>
          <w:tcPr>
            <w:tcW w:type="dxa" w:w="2347"/>
            <w:tcMar>
              <w:top w:type="dxa" w:w="50"/>
              <w:left w:type="dxa" w:w="80"/>
              <w:bottom w:type="dxa" w:w="50"/>
              <w:right w:type="dxa" w:w="80"/>
            </w:tcMar>
          </w:tcPr>
          <w:p>
            <w:pPr>
              <w:spacing w:after="20" w:line="240"/>
            </w:pPr>
            <w:r>
              <w:rPr>
                <w:sz w:val="18"/>
                <w:szCs w:val="18"/>
              </w:rPr>
              <w:t xml:space="preserve">Model Owner</w:t>
            </w:r>
          </w:p>
        </w:tc>
        <w:tc>
          <w:tcPr>
            <w:tcW w:type="dxa" w:w="6679"/>
            <w:tcMar>
              <w:top w:type="dxa" w:w="50"/>
              <w:left w:type="dxa" w:w="80"/>
              <w:bottom w:type="dxa" w:w="50"/>
              <w:right w:type="dxa" w:w="80"/>
            </w:tcMar>
          </w:tcPr>
          <w:p>
            <w:pPr>
              <w:spacing w:after="20" w:line="240"/>
            </w:pPr>
            <w:r>
              <w:rPr>
                <w:sz w:val="18"/>
                <w:szCs w:val="18"/>
              </w:rPr>
              <w:t xml:space="preserve">The named individual accountable for a specific AI system's performance and risk posture (per Model Inventory).</w:t>
            </w:r>
          </w:p>
        </w:tc>
      </w:tr>
      <w:tr>
        <w:tc>
          <w:tcPr>
            <w:tcW w:type="dxa" w:w="2347"/>
            <w:shd w:fill="F2F6FB" w:color="auto" w:val="clear"/>
            <w:tcMar>
              <w:top w:type="dxa" w:w="50"/>
              <w:left w:type="dxa" w:w="80"/>
              <w:bottom w:type="dxa" w:w="50"/>
              <w:right w:type="dxa" w:w="80"/>
            </w:tcMar>
          </w:tcPr>
          <w:p>
            <w:pPr>
              <w:spacing w:after="20" w:line="240"/>
            </w:pPr>
            <w:r>
              <w:rPr>
                <w:sz w:val="18"/>
                <w:szCs w:val="18"/>
              </w:rPr>
              <w:t xml:space="preserve">Containment</w:t>
            </w:r>
          </w:p>
        </w:tc>
        <w:tc>
          <w:tcPr>
            <w:tcW w:type="dxa" w:w="6679"/>
            <w:shd w:fill="F2F6FB" w:color="auto" w:val="clear"/>
            <w:tcMar>
              <w:top w:type="dxa" w:w="50"/>
              <w:left w:type="dxa" w:w="80"/>
              <w:bottom w:type="dxa" w:w="50"/>
              <w:right w:type="dxa" w:w="80"/>
            </w:tcMar>
          </w:tcPr>
          <w:p>
            <w:pPr>
              <w:spacing w:after="20" w:line="240"/>
            </w:pPr>
            <w:r>
              <w:rPr>
                <w:sz w:val="18"/>
                <w:szCs w:val="18"/>
              </w:rPr>
              <w:t xml:space="preserve">Any action that stops or limits ongoing harm, independent of root cause (e.g., rollback, kill switch, filter patch).</w:t>
            </w:r>
          </w:p>
        </w:tc>
      </w:tr>
      <w:tr>
        <w:tc>
          <w:tcPr>
            <w:tcW w:type="dxa" w:w="2347"/>
            <w:tcMar>
              <w:top w:type="dxa" w:w="50"/>
              <w:left w:type="dxa" w:w="80"/>
              <w:bottom w:type="dxa" w:w="50"/>
              <w:right w:type="dxa" w:w="80"/>
            </w:tcMar>
          </w:tcPr>
          <w:p>
            <w:pPr>
              <w:spacing w:after="20" w:line="240"/>
            </w:pPr>
            <w:r>
              <w:rPr>
                <w:sz w:val="18"/>
                <w:szCs w:val="18"/>
              </w:rPr>
              <w:t xml:space="preserve">Behavioral snapshot</w:t>
            </w:r>
          </w:p>
        </w:tc>
        <w:tc>
          <w:tcPr>
            <w:tcW w:type="dxa" w:w="6679"/>
            <w:tcMar>
              <w:top w:type="dxa" w:w="50"/>
              <w:left w:type="dxa" w:w="80"/>
              <w:bottom w:type="dxa" w:w="50"/>
              <w:right w:type="dxa" w:w="80"/>
            </w:tcMar>
          </w:tcPr>
          <w:p>
            <w:pPr>
              <w:spacing w:after="20" w:line="240"/>
            </w:pPr>
            <w:r>
              <w:rPr>
                <w:sz w:val="18"/>
                <w:szCs w:val="18"/>
              </w:rPr>
              <w:t xml:space="preserve">Preserved evidence of model behavior at incident time: model/version identifiers, prompts and configuration, inputs/outputs, retrieval context, and logs.</w:t>
            </w:r>
          </w:p>
        </w:tc>
      </w:tr>
      <w:tr>
        <w:tc>
          <w:tcPr>
            <w:tcW w:type="dxa" w:w="2347"/>
            <w:shd w:fill="F2F6FB" w:color="auto" w:val="clear"/>
            <w:tcMar>
              <w:top w:type="dxa" w:w="50"/>
              <w:left w:type="dxa" w:w="80"/>
              <w:bottom w:type="dxa" w:w="50"/>
              <w:right w:type="dxa" w:w="80"/>
            </w:tcMar>
          </w:tcPr>
          <w:p>
            <w:pPr>
              <w:spacing w:after="20" w:line="240"/>
            </w:pPr>
            <w:r>
              <w:rPr>
                <w:sz w:val="18"/>
                <w:szCs w:val="18"/>
              </w:rPr>
              <w:t xml:space="preserve">Near-miss</w:t>
            </w:r>
          </w:p>
        </w:tc>
        <w:tc>
          <w:tcPr>
            <w:tcW w:type="dxa" w:w="6679"/>
            <w:shd w:fill="F2F6FB" w:color="auto" w:val="clear"/>
            <w:tcMar>
              <w:top w:type="dxa" w:w="50"/>
              <w:left w:type="dxa" w:w="80"/>
              <w:bottom w:type="dxa" w:w="50"/>
              <w:right w:type="dxa" w:w="80"/>
            </w:tcMar>
          </w:tcPr>
          <w:p>
            <w:pPr>
              <w:spacing w:after="20" w:line="240"/>
            </w:pPr>
            <w:r>
              <w:rPr>
                <w:sz w:val="18"/>
                <w:szCs w:val="18"/>
              </w:rPr>
              <w:t xml:space="preserve">An event that could plausibly have become a SEV-1–3 incident but was caught before user impact.</w:t>
            </w:r>
          </w:p>
        </w:tc>
      </w:tr>
    </w:tbl>
    <w:p>
      <w:pPr>
        <w:spacing w:after="120"/>
      </w:pPr>
    </w:p>
    <w:p>
      <w:pPr>
        <w:spacing w:after="120" w:line="276"/>
      </w:pPr>
      <w:r>
        <w:rPr>
          <w:b/>
          <w:bCs/>
          <w:sz w:val="19"/>
          <w:szCs w:val="19"/>
        </w:rPr>
        <w:t xml:space="preserve">Abbreviations:</w:t>
      </w:r>
      <w:r>
        <w:rPr>
          <w:sz w:val="19"/>
          <w:szCs w:val="19"/>
        </w:rPr>
        <w:t xml:space="preserve"> DPO — Data Protection Officer · IC — Incident Commander · IR — Incident Response · MTTC — Mean Time to Containment · MTTD — Mean Time to Detection · MTTR — Mean Time to Resolution · NM — Near-Miss · PII — Personally Identifiable Information · PIR — Post-Incident Review · RACI — Responsible/Accountable/Consulted/Informed · RAG — Retrieval-Augmented Generation · RCA — Root Cause Analysis · SLA — Service Level Agreement · SOP — Standard Operating Procedure · T&amp;S — Trust &amp; Safety.</w:t>
      </w:r>
    </w:p>
    <w:p>
      <w:pPr>
        <w:pStyle w:val="Heading1"/>
        <w:spacing w:after="160" w:before="340"/>
      </w:pPr>
      <w:r>
        <w:t xml:space="preserve">2. Framework Alignment</w:t>
      </w:r>
    </w:p>
    <w:p>
      <w:pPr>
        <w:spacing w:after="120" w:line="276"/>
      </w:pPr>
      <w:r>
        <w:t xml:space="preserve">This playbook is organized by incident lifecycle, because that is how responders use it. The table below maps each phase to the NIST AI RMF functions and ISO/IEC 42001 requirements it operationalizes, so auditors and governance reviewers can trace coverage.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3610"/>
        <w:gridCol w:w="2888"/>
      </w:tblGrid>
      <w:tr>
        <w:trPr>
          <w:tblHeader/>
        </w:trPr>
        <w:tc>
          <w:tcPr>
            <w:tcW w:type="dxa" w:w="2527"/>
            <w:shd w:fill="1F3864" w:color="auto" w:val="clear"/>
            <w:tcMar>
              <w:top w:type="dxa" w:w="60"/>
              <w:left w:type="dxa" w:w="80"/>
              <w:bottom w:type="dxa" w:w="60"/>
              <w:right w:type="dxa" w:w="80"/>
            </w:tcMar>
            <w:vAlign w:val="center"/>
          </w:tcPr>
          <w:p>
            <w:pPr>
              <w:spacing w:after="20" w:line="240"/>
            </w:pPr>
            <w:r>
              <w:rPr>
                <w:b/>
                <w:bCs/>
                <w:color w:val="FFFFFF"/>
                <w:sz w:val="18"/>
                <w:szCs w:val="18"/>
              </w:rPr>
              <w:t xml:space="preserve">Playbook element</w:t>
            </w:r>
          </w:p>
        </w:tc>
        <w:tc>
          <w:tcPr>
            <w:tcW w:type="dxa" w:w="3610"/>
            <w:shd w:fill="1F3864" w:color="auto" w:val="clear"/>
            <w:tcMar>
              <w:top w:type="dxa" w:w="60"/>
              <w:left w:type="dxa" w:w="80"/>
              <w:bottom w:type="dxa" w:w="60"/>
              <w:right w:type="dxa" w:w="80"/>
            </w:tcMar>
            <w:vAlign w:val="center"/>
          </w:tcPr>
          <w:p>
            <w:pPr>
              <w:spacing w:after="20" w:line="240"/>
            </w:pPr>
            <w:r>
              <w:rPr>
                <w:b/>
                <w:bCs/>
                <w:color w:val="FFFFFF"/>
                <w:sz w:val="18"/>
                <w:szCs w:val="18"/>
              </w:rPr>
              <w:t xml:space="preserve">NIST AI RMF</w:t>
            </w:r>
          </w:p>
        </w:tc>
        <w:tc>
          <w:tcPr>
            <w:tcW w:type="dxa" w:w="2888"/>
            <w:shd w:fill="1F3864" w:color="auto" w:val="clear"/>
            <w:tcMar>
              <w:top w:type="dxa" w:w="60"/>
              <w:left w:type="dxa" w:w="80"/>
              <w:bottom w:type="dxa" w:w="60"/>
              <w:right w:type="dxa" w:w="80"/>
            </w:tcMar>
            <w:vAlign w:val="center"/>
          </w:tcPr>
          <w:p>
            <w:pPr>
              <w:spacing w:after="20" w:line="240"/>
            </w:pPr>
            <w:r>
              <w:rPr>
                <w:b/>
                <w:bCs/>
                <w:color w:val="FFFFFF"/>
                <w:sz w:val="18"/>
                <w:szCs w:val="18"/>
              </w:rPr>
              <w:t xml:space="preserve">ISO/IEC 42001</w:t>
            </w:r>
          </w:p>
        </w:tc>
      </w:tr>
      <w:tr>
        <w:tc>
          <w:tcPr>
            <w:tcW w:type="dxa" w:w="2527"/>
            <w:tcMar>
              <w:top w:type="dxa" w:w="50"/>
              <w:left w:type="dxa" w:w="80"/>
              <w:bottom w:type="dxa" w:w="50"/>
              <w:right w:type="dxa" w:w="80"/>
            </w:tcMar>
          </w:tcPr>
          <w:p>
            <w:pPr>
              <w:spacing w:after="20" w:line="240"/>
            </w:pPr>
            <w:r>
              <w:rPr>
                <w:sz w:val="18"/>
                <w:szCs w:val="18"/>
              </w:rPr>
              <w:t xml:space="preserve">Governance, roles &amp; RACI (§3)</w:t>
            </w:r>
          </w:p>
        </w:tc>
        <w:tc>
          <w:tcPr>
            <w:tcW w:type="dxa" w:w="3610"/>
            <w:tcMar>
              <w:top w:type="dxa" w:w="50"/>
              <w:left w:type="dxa" w:w="80"/>
              <w:bottom w:type="dxa" w:w="50"/>
              <w:right w:type="dxa" w:w="80"/>
            </w:tcMar>
          </w:tcPr>
          <w:p>
            <w:pPr>
              <w:spacing w:after="20" w:line="240"/>
            </w:pPr>
            <w:r>
              <w:rPr>
                <w:sz w:val="18"/>
                <w:szCs w:val="18"/>
              </w:rPr>
              <w:t xml:space="preserve">GOVERN 2 (roles, responsibilities, accountability); GOVERN 4.3 (incident identification and information-sharing practices)</w:t>
            </w:r>
          </w:p>
        </w:tc>
        <w:tc>
          <w:tcPr>
            <w:tcW w:type="dxa" w:w="2888"/>
            <w:tcMar>
              <w:top w:type="dxa" w:w="50"/>
              <w:left w:type="dxa" w:w="80"/>
              <w:bottom w:type="dxa" w:w="50"/>
              <w:right w:type="dxa" w:w="80"/>
            </w:tcMar>
          </w:tcPr>
          <w:p>
            <w:pPr>
              <w:spacing w:after="20" w:line="240"/>
            </w:pPr>
            <w:r>
              <w:rPr>
                <w:sz w:val="18"/>
                <w:szCs w:val="18"/>
              </w:rPr>
              <w:t xml:space="preserve">A.3.2 AI roles and responsibilities; Clause 5.3 organizational roles</w:t>
            </w:r>
          </w:p>
        </w:tc>
      </w:tr>
      <w:tr>
        <w:tc>
          <w:tcPr>
            <w:tcW w:type="dxa" w:w="2527"/>
            <w:shd w:fill="F2F6FB" w:color="auto" w:val="clear"/>
            <w:tcMar>
              <w:top w:type="dxa" w:w="50"/>
              <w:left w:type="dxa" w:w="80"/>
              <w:bottom w:type="dxa" w:w="50"/>
              <w:right w:type="dxa" w:w="80"/>
            </w:tcMar>
          </w:tcPr>
          <w:p>
            <w:pPr>
              <w:spacing w:after="20" w:line="240"/>
            </w:pPr>
            <w:r>
              <w:rPr>
                <w:sz w:val="18"/>
                <w:szCs w:val="18"/>
              </w:rPr>
              <w:t xml:space="preserve">Taxonomy &amp; severity (§4–5)</w:t>
            </w:r>
          </w:p>
        </w:tc>
        <w:tc>
          <w:tcPr>
            <w:tcW w:type="dxa" w:w="3610"/>
            <w:shd w:fill="F2F6FB" w:color="auto" w:val="clear"/>
            <w:tcMar>
              <w:top w:type="dxa" w:w="50"/>
              <w:left w:type="dxa" w:w="80"/>
              <w:bottom w:type="dxa" w:w="50"/>
              <w:right w:type="dxa" w:w="80"/>
            </w:tcMar>
          </w:tcPr>
          <w:p>
            <w:pPr>
              <w:spacing w:after="20" w:line="240"/>
            </w:pPr>
            <w:r>
              <w:rPr>
                <w:sz w:val="18"/>
                <w:szCs w:val="18"/>
              </w:rPr>
              <w:t xml:space="preserve">MAP 5.1 (likelihood and magnitude of impacts); MEASURE 3.1 (tracking identified risks)</w:t>
            </w:r>
          </w:p>
        </w:tc>
        <w:tc>
          <w:tcPr>
            <w:tcW w:type="dxa" w:w="2888"/>
            <w:shd w:fill="F2F6FB" w:color="auto" w:val="clear"/>
            <w:tcMar>
              <w:top w:type="dxa" w:w="50"/>
              <w:left w:type="dxa" w:w="80"/>
              <w:bottom w:type="dxa" w:w="50"/>
              <w:right w:type="dxa" w:w="80"/>
            </w:tcMar>
          </w:tcPr>
          <w:p>
            <w:pPr>
              <w:spacing w:after="20" w:line="240"/>
            </w:pPr>
            <w:r>
              <w:rPr>
                <w:sz w:val="18"/>
                <w:szCs w:val="18"/>
              </w:rPr>
              <w:t xml:space="preserve">A.5 AI system impact assessment (severity dimensions derive from impact assessments)</w:t>
            </w:r>
          </w:p>
        </w:tc>
      </w:tr>
      <w:tr>
        <w:tc>
          <w:tcPr>
            <w:tcW w:type="dxa" w:w="2527"/>
            <w:tcMar>
              <w:top w:type="dxa" w:w="50"/>
              <w:left w:type="dxa" w:w="80"/>
              <w:bottom w:type="dxa" w:w="50"/>
              <w:right w:type="dxa" w:w="80"/>
            </w:tcMar>
          </w:tcPr>
          <w:p>
            <w:pPr>
              <w:spacing w:after="20" w:line="240"/>
            </w:pPr>
            <w:r>
              <w:rPr>
                <w:sz w:val="18"/>
                <w:szCs w:val="18"/>
              </w:rPr>
              <w:t xml:space="preserve">Detection &amp; intake (§6.1)</w:t>
            </w:r>
          </w:p>
        </w:tc>
        <w:tc>
          <w:tcPr>
            <w:tcW w:type="dxa" w:w="3610"/>
            <w:tcMar>
              <w:top w:type="dxa" w:w="50"/>
              <w:left w:type="dxa" w:w="80"/>
              <w:bottom w:type="dxa" w:w="50"/>
              <w:right w:type="dxa" w:w="80"/>
            </w:tcMar>
          </w:tcPr>
          <w:p>
            <w:pPr>
              <w:spacing w:after="20" w:line="240"/>
            </w:pPr>
            <w:r>
              <w:rPr>
                <w:sz w:val="18"/>
                <w:szCs w:val="18"/>
              </w:rPr>
              <w:t xml:space="preserve">MEASURE (ongoing monitoring); MEASURE 3.3 (end-user feedback and reporting channels); MANAGE 4.1 (post-deployment monitoring)</w:t>
            </w:r>
          </w:p>
        </w:tc>
        <w:tc>
          <w:tcPr>
            <w:tcW w:type="dxa" w:w="2888"/>
            <w:tcMar>
              <w:top w:type="dxa" w:w="50"/>
              <w:left w:type="dxa" w:w="80"/>
              <w:bottom w:type="dxa" w:w="50"/>
              <w:right w:type="dxa" w:w="80"/>
            </w:tcMar>
          </w:tcPr>
          <w:p>
            <w:pPr>
              <w:spacing w:after="20" w:line="240"/>
            </w:pPr>
            <w:r>
              <w:rPr>
                <w:sz w:val="18"/>
                <w:szCs w:val="18"/>
              </w:rPr>
              <w:t xml:space="preserve">A.6.2.6 AI system operation and monitoring</w:t>
            </w:r>
          </w:p>
        </w:tc>
      </w:tr>
      <w:tr>
        <w:tc>
          <w:tcPr>
            <w:tcW w:type="dxa" w:w="2527"/>
            <w:shd w:fill="F2F6FB" w:color="auto" w:val="clear"/>
            <w:tcMar>
              <w:top w:type="dxa" w:w="50"/>
              <w:left w:type="dxa" w:w="80"/>
              <w:bottom w:type="dxa" w:w="50"/>
              <w:right w:type="dxa" w:w="80"/>
            </w:tcMar>
          </w:tcPr>
          <w:p>
            <w:pPr>
              <w:spacing w:after="20" w:line="240"/>
            </w:pPr>
            <w:r>
              <w:rPr>
                <w:sz w:val="18"/>
                <w:szCs w:val="18"/>
              </w:rPr>
              <w:t xml:space="preserve">Triage &amp; escalation (§6.2–6.3)</w:t>
            </w:r>
          </w:p>
        </w:tc>
        <w:tc>
          <w:tcPr>
            <w:tcW w:type="dxa" w:w="3610"/>
            <w:shd w:fill="F2F6FB" w:color="auto" w:val="clear"/>
            <w:tcMar>
              <w:top w:type="dxa" w:w="50"/>
              <w:left w:type="dxa" w:w="80"/>
              <w:bottom w:type="dxa" w:w="50"/>
              <w:right w:type="dxa" w:w="80"/>
            </w:tcMar>
          </w:tcPr>
          <w:p>
            <w:pPr>
              <w:spacing w:after="20" w:line="240"/>
            </w:pPr>
            <w:r>
              <w:rPr>
                <w:sz w:val="18"/>
                <w:szCs w:val="18"/>
              </w:rPr>
              <w:t xml:space="preserve">MANAGE 2.3 (respond to previously unknown risks); MANAGE 4.3 (incident communication to relevant actors)</w:t>
            </w:r>
          </w:p>
        </w:tc>
        <w:tc>
          <w:tcPr>
            <w:tcW w:type="dxa" w:w="2888"/>
            <w:shd w:fill="F2F6FB" w:color="auto" w:val="clear"/>
            <w:tcMar>
              <w:top w:type="dxa" w:w="50"/>
              <w:left w:type="dxa" w:w="80"/>
              <w:bottom w:type="dxa" w:w="50"/>
              <w:right w:type="dxa" w:w="80"/>
            </w:tcMar>
          </w:tcPr>
          <w:p>
            <w:pPr>
              <w:spacing w:after="20" w:line="240"/>
            </w:pPr>
            <w:r>
              <w:rPr>
                <w:sz w:val="18"/>
                <w:szCs w:val="18"/>
              </w:rPr>
              <w:t xml:space="preserve">A.8.4 communication of incidents; Clause 7.4 communication</w:t>
            </w:r>
          </w:p>
        </w:tc>
      </w:tr>
      <w:tr>
        <w:tc>
          <w:tcPr>
            <w:tcW w:type="dxa" w:w="2527"/>
            <w:tcMar>
              <w:top w:type="dxa" w:w="50"/>
              <w:left w:type="dxa" w:w="80"/>
              <w:bottom w:type="dxa" w:w="50"/>
              <w:right w:type="dxa" w:w="80"/>
            </w:tcMar>
          </w:tcPr>
          <w:p>
            <w:pPr>
              <w:spacing w:after="20" w:line="240"/>
            </w:pPr>
            <w:r>
              <w:rPr>
                <w:sz w:val="18"/>
                <w:szCs w:val="18"/>
              </w:rPr>
              <w:t xml:space="preserve">Containment &amp; response (§6.4)</w:t>
            </w:r>
          </w:p>
        </w:tc>
        <w:tc>
          <w:tcPr>
            <w:tcW w:type="dxa" w:w="3610"/>
            <w:tcMar>
              <w:top w:type="dxa" w:w="50"/>
              <w:left w:type="dxa" w:w="80"/>
              <w:bottom w:type="dxa" w:w="50"/>
              <w:right w:type="dxa" w:w="80"/>
            </w:tcMar>
          </w:tcPr>
          <w:p>
            <w:pPr>
              <w:spacing w:after="20" w:line="240"/>
            </w:pPr>
            <w:r>
              <w:rPr>
                <w:sz w:val="18"/>
                <w:szCs w:val="18"/>
              </w:rPr>
              <w:t xml:space="preserve">MANAGE 2.4 (mechanisms to supersede, disengage, or deactivate AI systems)</w:t>
            </w:r>
          </w:p>
        </w:tc>
        <w:tc>
          <w:tcPr>
            <w:tcW w:type="dxa" w:w="2888"/>
            <w:tcMar>
              <w:top w:type="dxa" w:w="50"/>
              <w:left w:type="dxa" w:w="80"/>
              <w:bottom w:type="dxa" w:w="50"/>
              <w:right w:type="dxa" w:w="80"/>
            </w:tcMar>
          </w:tcPr>
          <w:p>
            <w:pPr>
              <w:spacing w:after="20" w:line="240"/>
            </w:pPr>
            <w:r>
              <w:rPr>
                <w:sz w:val="18"/>
                <w:szCs w:val="18"/>
              </w:rPr>
              <w:t xml:space="preserve">A.6.2.6; A.10.3 supplier arrangements (vendor-model containment)</w:t>
            </w:r>
          </w:p>
        </w:tc>
      </w:tr>
      <w:tr>
        <w:tc>
          <w:tcPr>
            <w:tcW w:type="dxa" w:w="2527"/>
            <w:shd w:fill="F2F6FB" w:color="auto" w:val="clear"/>
            <w:tcMar>
              <w:top w:type="dxa" w:w="50"/>
              <w:left w:type="dxa" w:w="80"/>
              <w:bottom w:type="dxa" w:w="50"/>
              <w:right w:type="dxa" w:w="80"/>
            </w:tcMar>
          </w:tcPr>
          <w:p>
            <w:pPr>
              <w:spacing w:after="20" w:line="240"/>
            </w:pPr>
            <w:r>
              <w:rPr>
                <w:sz w:val="18"/>
                <w:szCs w:val="18"/>
              </w:rPr>
              <w:t xml:space="preserve">RCA &amp; remediation (§6.5–6.6)</w:t>
            </w:r>
          </w:p>
        </w:tc>
        <w:tc>
          <w:tcPr>
            <w:tcW w:type="dxa" w:w="3610"/>
            <w:shd w:fill="F2F6FB" w:color="auto" w:val="clear"/>
            <w:tcMar>
              <w:top w:type="dxa" w:w="50"/>
              <w:left w:type="dxa" w:w="80"/>
              <w:bottom w:type="dxa" w:w="50"/>
              <w:right w:type="dxa" w:w="80"/>
            </w:tcMar>
          </w:tcPr>
          <w:p>
            <w:pPr>
              <w:spacing w:after="20" w:line="240"/>
            </w:pPr>
            <w:r>
              <w:rPr>
                <w:sz w:val="18"/>
                <w:szCs w:val="18"/>
              </w:rPr>
              <w:t xml:space="preserve">MEASURE 2 (evaluation of trustworthy characteristics); MANAGE 1 (risk treatment)</w:t>
            </w:r>
          </w:p>
        </w:tc>
        <w:tc>
          <w:tcPr>
            <w:tcW w:type="dxa" w:w="2888"/>
            <w:shd w:fill="F2F6FB" w:color="auto" w:val="clear"/>
            <w:tcMar>
              <w:top w:type="dxa" w:w="50"/>
              <w:left w:type="dxa" w:w="80"/>
              <w:bottom w:type="dxa" w:w="50"/>
              <w:right w:type="dxa" w:w="80"/>
            </w:tcMar>
          </w:tcPr>
          <w:p>
            <w:pPr>
              <w:spacing w:after="20" w:line="240"/>
            </w:pPr>
            <w:r>
              <w:rPr>
                <w:sz w:val="18"/>
                <w:szCs w:val="18"/>
              </w:rPr>
              <w:t xml:space="preserve">Clause 10.2 nonconformity and corrective action</w:t>
            </w:r>
          </w:p>
        </w:tc>
      </w:tr>
      <w:tr>
        <w:tc>
          <w:tcPr>
            <w:tcW w:type="dxa" w:w="2527"/>
            <w:tcMar>
              <w:top w:type="dxa" w:w="50"/>
              <w:left w:type="dxa" w:w="80"/>
              <w:bottom w:type="dxa" w:w="50"/>
              <w:right w:type="dxa" w:w="80"/>
            </w:tcMar>
          </w:tcPr>
          <w:p>
            <w:pPr>
              <w:spacing w:after="20" w:line="240"/>
            </w:pPr>
            <w:r>
              <w:rPr>
                <w:sz w:val="18"/>
                <w:szCs w:val="18"/>
              </w:rPr>
              <w:t xml:space="preserve">Post-incident review &amp; feedback loops (§6.7, §7)</w:t>
            </w:r>
          </w:p>
        </w:tc>
        <w:tc>
          <w:tcPr>
            <w:tcW w:type="dxa" w:w="3610"/>
            <w:tcMar>
              <w:top w:type="dxa" w:w="50"/>
              <w:left w:type="dxa" w:w="80"/>
              <w:bottom w:type="dxa" w:w="50"/>
              <w:right w:type="dxa" w:w="80"/>
            </w:tcMar>
          </w:tcPr>
          <w:p>
            <w:pPr>
              <w:spacing w:after="20" w:line="240"/>
            </w:pPr>
            <w:r>
              <w:rPr>
                <w:sz w:val="18"/>
                <w:szCs w:val="18"/>
              </w:rPr>
              <w:t xml:space="preserve">MANAGE 4.2 (continual improvement); GOVERN 1 (policies updated from experience); MAP (context re-assessment)</w:t>
            </w:r>
          </w:p>
        </w:tc>
        <w:tc>
          <w:tcPr>
            <w:tcW w:type="dxa" w:w="2888"/>
            <w:tcMar>
              <w:top w:type="dxa" w:w="50"/>
              <w:left w:type="dxa" w:w="80"/>
              <w:bottom w:type="dxa" w:w="50"/>
              <w:right w:type="dxa" w:w="80"/>
            </w:tcMar>
          </w:tcPr>
          <w:p>
            <w:pPr>
              <w:spacing w:after="20" w:line="240"/>
            </w:pPr>
            <w:r>
              <w:rPr>
                <w:sz w:val="18"/>
                <w:szCs w:val="18"/>
              </w:rPr>
              <w:t xml:space="preserve">Clause 9 performance evaluation; Clause 10 continual improvement</w:t>
            </w:r>
          </w:p>
        </w:tc>
      </w:tr>
      <w:tr>
        <w:tc>
          <w:tcPr>
            <w:tcW w:type="dxa" w:w="2527"/>
            <w:shd w:fill="F2F6FB" w:color="auto" w:val="clear"/>
            <w:tcMar>
              <w:top w:type="dxa" w:w="50"/>
              <w:left w:type="dxa" w:w="80"/>
              <w:bottom w:type="dxa" w:w="50"/>
              <w:right w:type="dxa" w:w="80"/>
            </w:tcMar>
          </w:tcPr>
          <w:p>
            <w:pPr>
              <w:spacing w:after="20" w:line="240"/>
            </w:pPr>
            <w:r>
              <w:rPr>
                <w:sz w:val="18"/>
                <w:szCs w:val="18"/>
              </w:rPr>
              <w:t xml:space="preserve">Regulatory notification (§6.3)</w:t>
            </w:r>
          </w:p>
        </w:tc>
        <w:tc>
          <w:tcPr>
            <w:tcW w:type="dxa" w:w="3610"/>
            <w:shd w:fill="F2F6FB" w:color="auto" w:val="clear"/>
            <w:tcMar>
              <w:top w:type="dxa" w:w="50"/>
              <w:left w:type="dxa" w:w="80"/>
              <w:bottom w:type="dxa" w:w="50"/>
              <w:right w:type="dxa" w:w="80"/>
            </w:tcMar>
          </w:tcPr>
          <w:p>
            <w:pPr>
              <w:spacing w:after="20" w:line="240"/>
            </w:pPr>
            <w:r>
              <w:rPr>
                <w:sz w:val="18"/>
                <w:szCs w:val="18"/>
              </w:rPr>
              <w:t xml:space="preserve">GOVERN 1.1 (legal and regulatory requirements)</w:t>
            </w:r>
          </w:p>
        </w:tc>
        <w:tc>
          <w:tcPr>
            <w:tcW w:type="dxa" w:w="2888"/>
            <w:shd w:fill="F2F6FB" w:color="auto" w:val="clear"/>
            <w:tcMar>
              <w:top w:type="dxa" w:w="50"/>
              <w:left w:type="dxa" w:w="80"/>
              <w:bottom w:type="dxa" w:w="50"/>
              <w:right w:type="dxa" w:w="80"/>
            </w:tcMar>
          </w:tcPr>
          <w:p>
            <w:pPr>
              <w:spacing w:after="20" w:line="240"/>
            </w:pPr>
            <w:r>
              <w:rPr>
                <w:sz w:val="18"/>
                <w:szCs w:val="18"/>
              </w:rPr>
              <w:t xml:space="preserve">A.8.4; Clause 4.2 interested parties</w:t>
            </w:r>
          </w:p>
        </w:tc>
      </w:tr>
    </w:tbl>
    <w:p>
      <w:pPr>
        <w:spacing w:after="120"/>
      </w:pPr>
    </w:p>
    <w:p>
      <w:pPr>
        <w:pBdr>
          <w:left w:val="single" w:color="2E5496" w:sz="12" w:space="8"/>
        </w:pBdr>
        <w:spacing w:after="160"/>
        <w:ind w:left="240"/>
      </w:pPr>
      <w:r>
        <w:rPr>
          <w:i/>
          <w:iCs/>
          <w:color w:val="6B6B6B"/>
          <w:sz w:val="20"/>
          <w:szCs w:val="20"/>
        </w:rPr>
        <w:t xml:space="preserve">Control references reflect NIST AI RMF 1.0 and ISO/IEC 42001:2023; organizations adopting this playbook should validate mappings against their certification scope.</w:t>
      </w:r>
    </w:p>
    <w:p>
      <w:pPr>
        <w:pStyle w:val="Heading1"/>
        <w:spacing w:after="160" w:before="340"/>
      </w:pPr>
      <w:r>
        <w:t xml:space="preserve">3. Governance, Roles &amp; RACI</w:t>
      </w:r>
    </w:p>
    <w:p>
      <w:pPr>
        <w:pStyle w:val="Heading2"/>
        <w:spacing w:after="120" w:before="260"/>
      </w:pPr>
      <w:r>
        <w:t xml:space="preserve">3.1 Role definitions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2166"/>
        <w:gridCol w:w="5055"/>
      </w:tblGrid>
      <w:tr>
        <w:trPr>
          <w:tblHeader/>
        </w:trPr>
        <w:tc>
          <w:tcPr>
            <w:tcW w:type="dxa" w:w="1805"/>
            <w:shd w:fill="1F3864" w:color="auto" w:val="clear"/>
            <w:tcMar>
              <w:top w:type="dxa" w:w="60"/>
              <w:left w:type="dxa" w:w="80"/>
              <w:bottom w:type="dxa" w:w="60"/>
              <w:right w:type="dxa" w:w="80"/>
            </w:tcMar>
            <w:vAlign w:val="center"/>
          </w:tcPr>
          <w:p>
            <w:pPr>
              <w:spacing w:after="20" w:line="240"/>
            </w:pPr>
            <w:r>
              <w:rPr>
                <w:b/>
                <w:bCs/>
                <w:color w:val="FFFFFF"/>
                <w:sz w:val="18"/>
                <w:szCs w:val="18"/>
              </w:rPr>
              <w:t xml:space="preserve">Role</w:t>
            </w:r>
          </w:p>
        </w:tc>
        <w:tc>
          <w:tcPr>
            <w:tcW w:type="dxa" w:w="2166"/>
            <w:shd w:fill="1F3864" w:color="auto" w:val="clear"/>
            <w:tcMar>
              <w:top w:type="dxa" w:w="60"/>
              <w:left w:type="dxa" w:w="80"/>
              <w:bottom w:type="dxa" w:w="60"/>
              <w:right w:type="dxa" w:w="80"/>
            </w:tcMar>
            <w:vAlign w:val="center"/>
          </w:tcPr>
          <w:p>
            <w:pPr>
              <w:spacing w:after="20" w:line="240"/>
            </w:pPr>
            <w:r>
              <w:rPr>
                <w:b/>
                <w:bCs/>
                <w:color w:val="FFFFFF"/>
                <w:sz w:val="18"/>
                <w:szCs w:val="18"/>
              </w:rPr>
              <w:t xml:space="preserve">Held by</w:t>
            </w:r>
          </w:p>
        </w:tc>
        <w:tc>
          <w:tcPr>
            <w:tcW w:type="dxa" w:w="5055"/>
            <w:shd w:fill="1F3864" w:color="auto" w:val="clear"/>
            <w:tcMar>
              <w:top w:type="dxa" w:w="60"/>
              <w:left w:type="dxa" w:w="80"/>
              <w:bottom w:type="dxa" w:w="60"/>
              <w:right w:type="dxa" w:w="80"/>
            </w:tcMar>
            <w:vAlign w:val="center"/>
          </w:tcPr>
          <w:p>
            <w:pPr>
              <w:spacing w:after="20" w:line="240"/>
            </w:pPr>
            <w:r>
              <w:rPr>
                <w:b/>
                <w:bCs/>
                <w:color w:val="FFFFFF"/>
                <w:sz w:val="18"/>
                <w:szCs w:val="18"/>
              </w:rPr>
              <w:t xml:space="preserve">Responsibilities in an incident</w:t>
            </w:r>
          </w:p>
        </w:tc>
      </w:tr>
      <w:tr>
        <w:tc>
          <w:tcPr>
            <w:tcW w:type="dxa" w:w="1805"/>
            <w:tcMar>
              <w:top w:type="dxa" w:w="50"/>
              <w:left w:type="dxa" w:w="80"/>
              <w:bottom w:type="dxa" w:w="50"/>
              <w:right w:type="dxa" w:w="80"/>
            </w:tcMar>
          </w:tcPr>
          <w:p>
            <w:pPr>
              <w:spacing w:after="20" w:line="240"/>
            </w:pPr>
            <w:r>
              <w:rPr>
                <w:sz w:val="18"/>
                <w:szCs w:val="18"/>
              </w:rPr>
              <w:t xml:space="preserve">Incident Commander (IC)</w:t>
            </w:r>
          </w:p>
        </w:tc>
        <w:tc>
          <w:tcPr>
            <w:tcW w:type="dxa" w:w="2166"/>
            <w:tcMar>
              <w:top w:type="dxa" w:w="50"/>
              <w:left w:type="dxa" w:w="80"/>
              <w:bottom w:type="dxa" w:w="50"/>
              <w:right w:type="dxa" w:w="80"/>
            </w:tcMar>
          </w:tcPr>
          <w:p>
            <w:pPr>
              <w:spacing w:after="20" w:line="240"/>
            </w:pPr>
            <w:r>
              <w:rPr>
                <w:sz w:val="18"/>
                <w:szCs w:val="18"/>
              </w:rPr>
              <w:t xml:space="preserve">Trained on-call rotation (T&amp;S Ops leads, SecOps leads)</w:t>
            </w:r>
          </w:p>
        </w:tc>
        <w:tc>
          <w:tcPr>
            <w:tcW w:type="dxa" w:w="5055"/>
            <w:tcMar>
              <w:top w:type="dxa" w:w="50"/>
              <w:left w:type="dxa" w:w="80"/>
              <w:bottom w:type="dxa" w:w="50"/>
              <w:right w:type="dxa" w:w="80"/>
            </w:tcMar>
          </w:tcPr>
          <w:p>
            <w:pPr>
              <w:spacing w:after="20" w:line="240"/>
            </w:pPr>
            <w:r>
              <w:rPr>
                <w:sz w:val="18"/>
                <w:szCs w:val="18"/>
              </w:rPr>
              <w:t xml:space="preserve">Declares/classifies the incident, runs the response, owns comms cadence, decides containment with Model Owner, closes the incident. One IC per incident, including dual-track incidents.</w:t>
            </w:r>
          </w:p>
        </w:tc>
      </w:tr>
      <w:tr>
        <w:tc>
          <w:tcPr>
            <w:tcW w:type="dxa" w:w="1805"/>
            <w:shd w:fill="F2F6FB" w:color="auto" w:val="clear"/>
            <w:tcMar>
              <w:top w:type="dxa" w:w="50"/>
              <w:left w:type="dxa" w:w="80"/>
              <w:bottom w:type="dxa" w:w="50"/>
              <w:right w:type="dxa" w:w="80"/>
            </w:tcMar>
          </w:tcPr>
          <w:p>
            <w:pPr>
              <w:spacing w:after="20" w:line="240"/>
            </w:pPr>
            <w:r>
              <w:rPr>
                <w:sz w:val="18"/>
                <w:szCs w:val="18"/>
              </w:rPr>
              <w:t xml:space="preserve">Model Owner</w:t>
            </w:r>
          </w:p>
        </w:tc>
        <w:tc>
          <w:tcPr>
            <w:tcW w:type="dxa" w:w="2166"/>
            <w:shd w:fill="F2F6FB" w:color="auto" w:val="clear"/>
            <w:tcMar>
              <w:top w:type="dxa" w:w="50"/>
              <w:left w:type="dxa" w:w="80"/>
              <w:bottom w:type="dxa" w:w="50"/>
              <w:right w:type="dxa" w:w="80"/>
            </w:tcMar>
          </w:tcPr>
          <w:p>
            <w:pPr>
              <w:spacing w:after="20" w:line="240"/>
            </w:pPr>
            <w:r>
              <w:rPr>
                <w:sz w:val="18"/>
                <w:szCs w:val="18"/>
              </w:rPr>
              <w:t xml:space="preserve">Named per system in Model Inventory</w:t>
            </w:r>
          </w:p>
        </w:tc>
        <w:tc>
          <w:tcPr>
            <w:tcW w:type="dxa" w:w="5055"/>
            <w:shd w:fill="F2F6FB" w:color="auto" w:val="clear"/>
            <w:tcMar>
              <w:top w:type="dxa" w:w="50"/>
              <w:left w:type="dxa" w:w="80"/>
              <w:bottom w:type="dxa" w:w="50"/>
              <w:right w:type="dxa" w:w="80"/>
            </w:tcMar>
          </w:tcPr>
          <w:p>
            <w:pPr>
              <w:spacing w:after="20" w:line="240"/>
            </w:pPr>
            <w:r>
              <w:rPr>
                <w:sz w:val="18"/>
                <w:szCs w:val="18"/>
              </w:rPr>
              <w:t xml:space="preserve">Technical authority on the affected system; executes/validates containment; leads behavioral RCA.</w:t>
            </w:r>
          </w:p>
        </w:tc>
      </w:tr>
      <w:tr>
        <w:tc>
          <w:tcPr>
            <w:tcW w:type="dxa" w:w="1805"/>
            <w:tcMar>
              <w:top w:type="dxa" w:w="50"/>
              <w:left w:type="dxa" w:w="80"/>
              <w:bottom w:type="dxa" w:w="50"/>
              <w:right w:type="dxa" w:w="80"/>
            </w:tcMar>
          </w:tcPr>
          <w:p>
            <w:pPr>
              <w:spacing w:after="20" w:line="240"/>
            </w:pPr>
            <w:r>
              <w:rPr>
                <w:sz w:val="18"/>
                <w:szCs w:val="18"/>
              </w:rPr>
              <w:t xml:space="preserve">ML Engineering on-call</w:t>
            </w:r>
          </w:p>
        </w:tc>
        <w:tc>
          <w:tcPr>
            <w:tcW w:type="dxa" w:w="2166"/>
            <w:tcMar>
              <w:top w:type="dxa" w:w="50"/>
              <w:left w:type="dxa" w:w="80"/>
              <w:bottom w:type="dxa" w:w="50"/>
              <w:right w:type="dxa" w:w="80"/>
            </w:tcMar>
          </w:tcPr>
          <w:p>
            <w:pPr>
              <w:spacing w:after="20" w:line="240"/>
            </w:pPr>
            <w:r>
              <w:rPr>
                <w:sz w:val="18"/>
                <w:szCs w:val="18"/>
              </w:rPr>
              <w:t xml:space="preserve">Engineering rotation</w:t>
            </w:r>
          </w:p>
        </w:tc>
        <w:tc>
          <w:tcPr>
            <w:tcW w:type="dxa" w:w="5055"/>
            <w:tcMar>
              <w:top w:type="dxa" w:w="50"/>
              <w:left w:type="dxa" w:w="80"/>
              <w:bottom w:type="dxa" w:w="50"/>
              <w:right w:type="dxa" w:w="80"/>
            </w:tcMar>
          </w:tcPr>
          <w:p>
            <w:pPr>
              <w:spacing w:after="20" w:line="240"/>
            </w:pPr>
            <w:r>
              <w:rPr>
                <w:sz w:val="18"/>
                <w:szCs w:val="18"/>
              </w:rPr>
              <w:t xml:space="preserve">Executes rollbacks, flag changes, filter patches; preserves behavioral snapshots.</w:t>
            </w:r>
          </w:p>
        </w:tc>
      </w:tr>
      <w:tr>
        <w:tc>
          <w:tcPr>
            <w:tcW w:type="dxa" w:w="1805"/>
            <w:shd w:fill="F2F6FB" w:color="auto" w:val="clear"/>
            <w:tcMar>
              <w:top w:type="dxa" w:w="50"/>
              <w:left w:type="dxa" w:w="80"/>
              <w:bottom w:type="dxa" w:w="50"/>
              <w:right w:type="dxa" w:w="80"/>
            </w:tcMar>
          </w:tcPr>
          <w:p>
            <w:pPr>
              <w:spacing w:after="20" w:line="240"/>
            </w:pPr>
            <w:r>
              <w:rPr>
                <w:sz w:val="18"/>
                <w:szCs w:val="18"/>
              </w:rPr>
              <w:t xml:space="preserve">AI Governance Lead</w:t>
            </w:r>
          </w:p>
        </w:tc>
        <w:tc>
          <w:tcPr>
            <w:tcW w:type="dxa" w:w="2166"/>
            <w:shd w:fill="F2F6FB" w:color="auto" w:val="clear"/>
            <w:tcMar>
              <w:top w:type="dxa" w:w="50"/>
              <w:left w:type="dxa" w:w="80"/>
              <w:bottom w:type="dxa" w:w="50"/>
              <w:right w:type="dxa" w:w="80"/>
            </w:tcMar>
          </w:tcPr>
          <w:p>
            <w:pPr>
              <w:spacing w:after="20" w:line="240"/>
            </w:pPr>
            <w:r>
              <w:rPr>
                <w:sz w:val="18"/>
                <w:szCs w:val="18"/>
              </w:rPr>
              <w:t xml:space="preserve">Responsible AI function</w:t>
            </w:r>
          </w:p>
        </w:tc>
        <w:tc>
          <w:tcPr>
            <w:tcW w:type="dxa" w:w="5055"/>
            <w:shd w:fill="F2F6FB" w:color="auto" w:val="clear"/>
            <w:tcMar>
              <w:top w:type="dxa" w:w="50"/>
              <w:left w:type="dxa" w:w="80"/>
              <w:bottom w:type="dxa" w:w="50"/>
              <w:right w:type="dxa" w:w="80"/>
            </w:tcMar>
          </w:tcPr>
          <w:p>
            <w:pPr>
              <w:spacing w:after="20" w:line="240"/>
            </w:pPr>
            <w:r>
              <w:rPr>
                <w:sz w:val="18"/>
                <w:szCs w:val="18"/>
              </w:rPr>
              <w:t xml:space="preserve">Assesses fairness/policy dimensions; owns risk-register and model-documentation updates; ensures regulatory analysis happens for reportable incidents.</w:t>
            </w:r>
          </w:p>
        </w:tc>
      </w:tr>
      <w:tr>
        <w:tc>
          <w:tcPr>
            <w:tcW w:type="dxa" w:w="1805"/>
            <w:tcMar>
              <w:top w:type="dxa" w:w="50"/>
              <w:left w:type="dxa" w:w="80"/>
              <w:bottom w:type="dxa" w:w="50"/>
              <w:right w:type="dxa" w:w="80"/>
            </w:tcMar>
          </w:tcPr>
          <w:p>
            <w:pPr>
              <w:spacing w:after="20" w:line="240"/>
            </w:pPr>
            <w:r>
              <w:rPr>
                <w:sz w:val="18"/>
                <w:szCs w:val="18"/>
              </w:rPr>
              <w:t xml:space="preserve">Privacy Officer / DPO</w:t>
            </w:r>
          </w:p>
        </w:tc>
        <w:tc>
          <w:tcPr>
            <w:tcW w:type="dxa" w:w="2166"/>
            <w:tcMar>
              <w:top w:type="dxa" w:w="50"/>
              <w:left w:type="dxa" w:w="80"/>
              <w:bottom w:type="dxa" w:w="50"/>
              <w:right w:type="dxa" w:w="80"/>
            </w:tcMar>
          </w:tcPr>
          <w:p>
            <w:pPr>
              <w:spacing w:after="20" w:line="240"/>
            </w:pPr>
            <w:r>
              <w:rPr>
                <w:sz w:val="18"/>
                <w:szCs w:val="18"/>
              </w:rPr>
              <w:t xml:space="preserve">Privacy</w:t>
            </w:r>
          </w:p>
        </w:tc>
        <w:tc>
          <w:tcPr>
            <w:tcW w:type="dxa" w:w="5055"/>
            <w:tcMar>
              <w:top w:type="dxa" w:w="50"/>
              <w:left w:type="dxa" w:w="80"/>
              <w:bottom w:type="dxa" w:w="50"/>
              <w:right w:type="dxa" w:w="80"/>
            </w:tcMar>
          </w:tcPr>
          <w:p>
            <w:pPr>
              <w:spacing w:after="20" w:line="240"/>
            </w:pPr>
            <w:r>
              <w:rPr>
                <w:sz w:val="18"/>
                <w:szCs w:val="18"/>
              </w:rPr>
              <w:t xml:space="preserve">Determines whether personal data is involved; owns breach-notification clocks.</w:t>
            </w:r>
          </w:p>
        </w:tc>
      </w:tr>
      <w:tr>
        <w:tc>
          <w:tcPr>
            <w:tcW w:type="dxa" w:w="1805"/>
            <w:shd w:fill="F2F6FB" w:color="auto" w:val="clear"/>
            <w:tcMar>
              <w:top w:type="dxa" w:w="50"/>
              <w:left w:type="dxa" w:w="80"/>
              <w:bottom w:type="dxa" w:w="50"/>
              <w:right w:type="dxa" w:w="80"/>
            </w:tcMar>
          </w:tcPr>
          <w:p>
            <w:pPr>
              <w:spacing w:after="20" w:line="240"/>
            </w:pPr>
            <w:r>
              <w:rPr>
                <w:sz w:val="18"/>
                <w:szCs w:val="18"/>
              </w:rPr>
              <w:t xml:space="preserve">Legal &amp; Compliance</w:t>
            </w:r>
          </w:p>
        </w:tc>
        <w:tc>
          <w:tcPr>
            <w:tcW w:type="dxa" w:w="2166"/>
            <w:shd w:fill="F2F6FB" w:color="auto" w:val="clear"/>
            <w:tcMar>
              <w:top w:type="dxa" w:w="50"/>
              <w:left w:type="dxa" w:w="80"/>
              <w:bottom w:type="dxa" w:w="50"/>
              <w:right w:type="dxa" w:w="80"/>
            </w:tcMar>
          </w:tcPr>
          <w:p>
            <w:pPr>
              <w:spacing w:after="20" w:line="240"/>
            </w:pPr>
            <w:r>
              <w:rPr>
                <w:sz w:val="18"/>
                <w:szCs w:val="18"/>
              </w:rPr>
              <w:t xml:space="preserve">Legal</w:t>
            </w:r>
          </w:p>
        </w:tc>
        <w:tc>
          <w:tcPr>
            <w:tcW w:type="dxa" w:w="5055"/>
            <w:shd w:fill="F2F6FB" w:color="auto" w:val="clear"/>
            <w:tcMar>
              <w:top w:type="dxa" w:w="50"/>
              <w:left w:type="dxa" w:w="80"/>
              <w:bottom w:type="dxa" w:w="50"/>
              <w:right w:type="dxa" w:w="80"/>
            </w:tcMar>
          </w:tcPr>
          <w:p>
            <w:pPr>
              <w:spacing w:after="20" w:line="240"/>
            </w:pPr>
            <w:r>
              <w:rPr>
                <w:sz w:val="18"/>
                <w:szCs w:val="18"/>
              </w:rPr>
              <w:t xml:space="preserve">Regulatory reporting decisions; litigation hold; sanctions/AML implications.</w:t>
            </w:r>
          </w:p>
        </w:tc>
      </w:tr>
      <w:tr>
        <w:tc>
          <w:tcPr>
            <w:tcW w:type="dxa" w:w="1805"/>
            <w:tcMar>
              <w:top w:type="dxa" w:w="50"/>
              <w:left w:type="dxa" w:w="80"/>
              <w:bottom w:type="dxa" w:w="50"/>
              <w:right w:type="dxa" w:w="80"/>
            </w:tcMar>
          </w:tcPr>
          <w:p>
            <w:pPr>
              <w:spacing w:after="20" w:line="240"/>
            </w:pPr>
            <w:r>
              <w:rPr>
                <w:sz w:val="18"/>
                <w:szCs w:val="18"/>
              </w:rPr>
              <w:t xml:space="preserve">Communications</w:t>
            </w:r>
          </w:p>
        </w:tc>
        <w:tc>
          <w:tcPr>
            <w:tcW w:type="dxa" w:w="2166"/>
            <w:tcMar>
              <w:top w:type="dxa" w:w="50"/>
              <w:left w:type="dxa" w:w="80"/>
              <w:bottom w:type="dxa" w:w="50"/>
              <w:right w:type="dxa" w:w="80"/>
            </w:tcMar>
          </w:tcPr>
          <w:p>
            <w:pPr>
              <w:spacing w:after="20" w:line="240"/>
            </w:pPr>
            <w:r>
              <w:rPr>
                <w:sz w:val="18"/>
                <w:szCs w:val="18"/>
              </w:rPr>
              <w:t xml:space="preserve">Comms/Support leadership</w:t>
            </w:r>
          </w:p>
        </w:tc>
        <w:tc>
          <w:tcPr>
            <w:tcW w:type="dxa" w:w="5055"/>
            <w:tcMar>
              <w:top w:type="dxa" w:w="50"/>
              <w:left w:type="dxa" w:w="80"/>
              <w:bottom w:type="dxa" w:w="50"/>
              <w:right w:type="dxa" w:w="80"/>
            </w:tcMar>
          </w:tcPr>
          <w:p>
            <w:pPr>
              <w:spacing w:after="20" w:line="240"/>
            </w:pPr>
            <w:r>
              <w:rPr>
                <w:sz w:val="18"/>
                <w:szCs w:val="18"/>
              </w:rPr>
              <w:t xml:space="preserve">User-facing messaging, status page, support macros, media response.</w:t>
            </w:r>
          </w:p>
        </w:tc>
      </w:tr>
      <w:tr>
        <w:tc>
          <w:tcPr>
            <w:tcW w:type="dxa" w:w="1805"/>
            <w:shd w:fill="F2F6FB" w:color="auto" w:val="clear"/>
            <w:tcMar>
              <w:top w:type="dxa" w:w="50"/>
              <w:left w:type="dxa" w:w="80"/>
              <w:bottom w:type="dxa" w:w="50"/>
              <w:right w:type="dxa" w:w="80"/>
            </w:tcMar>
          </w:tcPr>
          <w:p>
            <w:pPr>
              <w:spacing w:after="20" w:line="240"/>
            </w:pPr>
            <w:r>
              <w:rPr>
                <w:sz w:val="18"/>
                <w:szCs w:val="18"/>
              </w:rPr>
              <w:t xml:space="preserve">Executive Sponsor</w:t>
            </w:r>
          </w:p>
        </w:tc>
        <w:tc>
          <w:tcPr>
            <w:tcW w:type="dxa" w:w="2166"/>
            <w:shd w:fill="F2F6FB" w:color="auto" w:val="clear"/>
            <w:tcMar>
              <w:top w:type="dxa" w:w="50"/>
              <w:left w:type="dxa" w:w="80"/>
              <w:bottom w:type="dxa" w:w="50"/>
              <w:right w:type="dxa" w:w="80"/>
            </w:tcMar>
          </w:tcPr>
          <w:p>
            <w:pPr>
              <w:spacing w:after="20" w:line="240"/>
            </w:pPr>
            <w:r>
              <w:rPr>
                <w:sz w:val="18"/>
                <w:szCs w:val="18"/>
              </w:rPr>
              <w:t xml:space="preserve">CRO (delegate: CTO)</w:t>
            </w:r>
          </w:p>
        </w:tc>
        <w:tc>
          <w:tcPr>
            <w:tcW w:type="dxa" w:w="5055"/>
            <w:shd w:fill="F2F6FB" w:color="auto" w:val="clear"/>
            <w:tcMar>
              <w:top w:type="dxa" w:w="50"/>
              <w:left w:type="dxa" w:w="80"/>
              <w:bottom w:type="dxa" w:w="50"/>
              <w:right w:type="dxa" w:w="80"/>
            </w:tcMar>
          </w:tcPr>
          <w:p>
            <w:pPr>
              <w:spacing w:after="20" w:line="240"/>
            </w:pPr>
            <w:r>
              <w:rPr>
                <w:sz w:val="18"/>
                <w:szCs w:val="18"/>
              </w:rPr>
              <w:t xml:space="preserve">Informed on SEV-1/2; tie-breaks cross-functional containment disputes (e.g., revenue vs. safety).</w:t>
            </w:r>
          </w:p>
        </w:tc>
      </w:tr>
    </w:tbl>
    <w:p>
      <w:pPr>
        <w:spacing w:after="120"/>
      </w:pPr>
    </w:p>
    <w:p>
      <w:pPr>
        <w:pStyle w:val="Heading2"/>
        <w:spacing w:after="120" w:before="260"/>
      </w:pPr>
      <w:r>
        <w:t xml:space="preserve">3.2 RACI by lifecycle phase</w:t>
      </w:r>
    </w:p>
    <w:p>
      <w:pPr>
        <w:spacing w:after="120" w:line="276"/>
      </w:pPr>
      <w:r>
        <w:t xml:space="preserve">R = Responsible, A = Accountable, C = Consulted, I = Informed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767"/>
        <w:gridCol w:w="1038"/>
        <w:gridCol w:w="812"/>
        <w:gridCol w:w="812"/>
        <w:gridCol w:w="857"/>
        <w:gridCol w:w="857"/>
        <w:gridCol w:w="857"/>
        <w:gridCol w:w="767"/>
      </w:tblGrid>
      <w:tr>
        <w:trPr>
          <w:tblHeader/>
        </w:trPr>
        <w:tc>
          <w:tcPr>
            <w:tcW w:type="dxa" w:w="2166"/>
            <w:shd w:fill="1F3864" w:color="auto" w:val="clear"/>
            <w:tcMar>
              <w:top w:type="dxa" w:w="60"/>
              <w:left w:type="dxa" w:w="80"/>
              <w:bottom w:type="dxa" w:w="60"/>
              <w:right w:type="dxa" w:w="80"/>
            </w:tcMar>
            <w:vAlign w:val="center"/>
          </w:tcPr>
          <w:p>
            <w:pPr>
              <w:spacing w:after="20" w:line="240"/>
            </w:pPr>
            <w:r>
              <w:rPr>
                <w:b/>
                <w:bCs/>
                <w:color w:val="FFFFFF"/>
                <w:sz w:val="16"/>
                <w:szCs w:val="16"/>
              </w:rPr>
              <w:t xml:space="preserve">Phase</w:t>
            </w:r>
          </w:p>
        </w:tc>
        <w:tc>
          <w:tcPr>
            <w:tcW w:type="dxa" w:w="767"/>
            <w:shd w:fill="1F3864" w:color="auto" w:val="clear"/>
            <w:tcMar>
              <w:top w:type="dxa" w:w="60"/>
              <w:left w:type="dxa" w:w="80"/>
              <w:bottom w:type="dxa" w:w="60"/>
              <w:right w:type="dxa" w:w="80"/>
            </w:tcMar>
            <w:vAlign w:val="center"/>
          </w:tcPr>
          <w:p>
            <w:pPr>
              <w:spacing w:after="20" w:line="240"/>
              <w:jc w:val="center"/>
            </w:pPr>
            <w:r>
              <w:rPr>
                <w:b/>
                <w:bCs/>
                <w:color w:val="FFFFFF"/>
                <w:sz w:val="16"/>
                <w:szCs w:val="16"/>
              </w:rPr>
              <w:t xml:space="preserve">IC</w:t>
            </w:r>
          </w:p>
        </w:tc>
        <w:tc>
          <w:tcPr>
            <w:tcW w:type="dxa" w:w="1038"/>
            <w:shd w:fill="1F3864" w:color="auto" w:val="clear"/>
            <w:tcMar>
              <w:top w:type="dxa" w:w="60"/>
              <w:left w:type="dxa" w:w="80"/>
              <w:bottom w:type="dxa" w:w="60"/>
              <w:right w:type="dxa" w:w="80"/>
            </w:tcMar>
            <w:vAlign w:val="center"/>
          </w:tcPr>
          <w:p>
            <w:pPr>
              <w:spacing w:after="20" w:line="240"/>
              <w:jc w:val="center"/>
            </w:pPr>
            <w:r>
              <w:rPr>
                <w:b/>
                <w:bCs/>
                <w:color w:val="FFFFFF"/>
                <w:sz w:val="16"/>
                <w:szCs w:val="16"/>
              </w:rPr>
              <w:t xml:space="preserve">Model Owner</w:t>
            </w:r>
          </w:p>
        </w:tc>
        <w:tc>
          <w:tcPr>
            <w:tcW w:type="dxa" w:w="812"/>
            <w:shd w:fill="1F3864" w:color="auto" w:val="clear"/>
            <w:tcMar>
              <w:top w:type="dxa" w:w="60"/>
              <w:left w:type="dxa" w:w="80"/>
              <w:bottom w:type="dxa" w:w="60"/>
              <w:right w:type="dxa" w:w="80"/>
            </w:tcMar>
            <w:vAlign w:val="center"/>
          </w:tcPr>
          <w:p>
            <w:pPr>
              <w:spacing w:after="20" w:line="240"/>
              <w:jc w:val="center"/>
            </w:pPr>
            <w:r>
              <w:rPr>
                <w:b/>
                <w:bCs/>
                <w:color w:val="FFFFFF"/>
                <w:sz w:val="16"/>
                <w:szCs w:val="16"/>
              </w:rPr>
              <w:t xml:space="preserve">ML Eng</w:t>
            </w:r>
          </w:p>
        </w:tc>
        <w:tc>
          <w:tcPr>
            <w:tcW w:type="dxa" w:w="812"/>
            <w:shd w:fill="1F3864" w:color="auto" w:val="clear"/>
            <w:tcMar>
              <w:top w:type="dxa" w:w="60"/>
              <w:left w:type="dxa" w:w="80"/>
              <w:bottom w:type="dxa" w:w="60"/>
              <w:right w:type="dxa" w:w="80"/>
            </w:tcMar>
            <w:vAlign w:val="center"/>
          </w:tcPr>
          <w:p>
            <w:pPr>
              <w:spacing w:after="20" w:line="240"/>
              <w:jc w:val="center"/>
            </w:pPr>
            <w:r>
              <w:rPr>
                <w:b/>
                <w:bCs/>
                <w:color w:val="FFFFFF"/>
                <w:sz w:val="16"/>
                <w:szCs w:val="16"/>
              </w:rPr>
              <w:t xml:space="preserve">AI Gov</w:t>
            </w:r>
          </w:p>
        </w:tc>
        <w:tc>
          <w:tcPr>
            <w:tcW w:type="dxa" w:w="857"/>
            <w:shd w:fill="1F3864" w:color="auto" w:val="clear"/>
            <w:tcMar>
              <w:top w:type="dxa" w:w="60"/>
              <w:left w:type="dxa" w:w="80"/>
              <w:bottom w:type="dxa" w:w="60"/>
              <w:right w:type="dxa" w:w="80"/>
            </w:tcMar>
            <w:vAlign w:val="center"/>
          </w:tcPr>
          <w:p>
            <w:pPr>
              <w:spacing w:after="20" w:line="240"/>
              <w:jc w:val="center"/>
            </w:pPr>
            <w:r>
              <w:rPr>
                <w:b/>
                <w:bCs/>
                <w:color w:val="FFFFFF"/>
                <w:sz w:val="16"/>
                <w:szCs w:val="16"/>
              </w:rPr>
              <w:t xml:space="preserve">Privacy</w:t>
            </w:r>
          </w:p>
        </w:tc>
        <w:tc>
          <w:tcPr>
            <w:tcW w:type="dxa" w:w="857"/>
            <w:shd w:fill="1F3864" w:color="auto" w:val="clear"/>
            <w:tcMar>
              <w:top w:type="dxa" w:w="60"/>
              <w:left w:type="dxa" w:w="80"/>
              <w:bottom w:type="dxa" w:w="60"/>
              <w:right w:type="dxa" w:w="80"/>
            </w:tcMar>
            <w:vAlign w:val="center"/>
          </w:tcPr>
          <w:p>
            <w:pPr>
              <w:spacing w:after="20" w:line="240"/>
              <w:jc w:val="center"/>
            </w:pPr>
            <w:r>
              <w:rPr>
                <w:b/>
                <w:bCs/>
                <w:color w:val="FFFFFF"/>
                <w:sz w:val="16"/>
                <w:szCs w:val="16"/>
              </w:rPr>
              <w:t xml:space="preserve">Legal</w:t>
            </w:r>
          </w:p>
        </w:tc>
        <w:tc>
          <w:tcPr>
            <w:tcW w:type="dxa" w:w="857"/>
            <w:shd w:fill="1F3864" w:color="auto" w:val="clear"/>
            <w:tcMar>
              <w:top w:type="dxa" w:w="60"/>
              <w:left w:type="dxa" w:w="80"/>
              <w:bottom w:type="dxa" w:w="60"/>
              <w:right w:type="dxa" w:w="80"/>
            </w:tcMar>
            <w:vAlign w:val="center"/>
          </w:tcPr>
          <w:p>
            <w:pPr>
              <w:spacing w:after="20" w:line="240"/>
              <w:jc w:val="center"/>
            </w:pPr>
            <w:r>
              <w:rPr>
                <w:b/>
                <w:bCs/>
                <w:color w:val="FFFFFF"/>
                <w:sz w:val="16"/>
                <w:szCs w:val="16"/>
              </w:rPr>
              <w:t xml:space="preserve">Comms</w:t>
            </w:r>
          </w:p>
        </w:tc>
        <w:tc>
          <w:tcPr>
            <w:tcW w:type="dxa" w:w="767"/>
            <w:shd w:fill="1F3864" w:color="auto" w:val="clear"/>
            <w:tcMar>
              <w:top w:type="dxa" w:w="60"/>
              <w:left w:type="dxa" w:w="80"/>
              <w:bottom w:type="dxa" w:w="60"/>
              <w:right w:type="dxa" w:w="80"/>
            </w:tcMar>
            <w:vAlign w:val="center"/>
          </w:tcPr>
          <w:p>
            <w:pPr>
              <w:spacing w:after="20" w:line="240"/>
              <w:jc w:val="center"/>
            </w:pPr>
            <w:r>
              <w:rPr>
                <w:b/>
                <w:bCs/>
                <w:color w:val="FFFFFF"/>
                <w:sz w:val="16"/>
                <w:szCs w:val="16"/>
              </w:rPr>
              <w:t xml:space="preserve">Exec</w:t>
            </w:r>
          </w:p>
        </w:tc>
      </w:tr>
      <w:tr>
        <w:tc>
          <w:tcPr>
            <w:tcW w:type="dxa" w:w="2166"/>
            <w:tcMar>
              <w:top w:type="dxa" w:w="50"/>
              <w:left w:type="dxa" w:w="80"/>
              <w:bottom w:type="dxa" w:w="50"/>
              <w:right w:type="dxa" w:w="80"/>
            </w:tcMar>
          </w:tcPr>
          <w:p>
            <w:pPr>
              <w:spacing w:after="20" w:line="240"/>
            </w:pPr>
            <w:r>
              <w:rPr>
                <w:sz w:val="16"/>
                <w:szCs w:val="16"/>
              </w:rPr>
              <w:t xml:space="preserve">Detection &amp; intake</w:t>
            </w:r>
          </w:p>
        </w:tc>
        <w:tc>
          <w:tcPr>
            <w:tcW w:type="dxa" w:w="767"/>
            <w:tcMar>
              <w:top w:type="dxa" w:w="50"/>
              <w:left w:type="dxa" w:w="80"/>
              <w:bottom w:type="dxa" w:w="50"/>
              <w:right w:type="dxa" w:w="80"/>
            </w:tcMar>
          </w:tcPr>
          <w:p>
            <w:pPr>
              <w:spacing w:after="20" w:line="240"/>
              <w:jc w:val="center"/>
            </w:pPr>
            <w:r>
              <w:rPr>
                <w:sz w:val="16"/>
                <w:szCs w:val="16"/>
              </w:rPr>
              <w:t xml:space="preserve">R</w:t>
            </w:r>
          </w:p>
        </w:tc>
        <w:tc>
          <w:tcPr>
            <w:tcW w:type="dxa" w:w="1038"/>
            <w:tcMar>
              <w:top w:type="dxa" w:w="50"/>
              <w:left w:type="dxa" w:w="80"/>
              <w:bottom w:type="dxa" w:w="50"/>
              <w:right w:type="dxa" w:w="80"/>
            </w:tcMar>
          </w:tcPr>
          <w:p>
            <w:pPr>
              <w:spacing w:after="20" w:line="240"/>
              <w:jc w:val="center"/>
            </w:pPr>
            <w:r>
              <w:rPr>
                <w:sz w:val="16"/>
                <w:szCs w:val="16"/>
              </w:rPr>
              <w:t xml:space="preserve">I</w:t>
            </w:r>
          </w:p>
        </w:tc>
        <w:tc>
          <w:tcPr>
            <w:tcW w:type="dxa" w:w="812"/>
            <w:tcMar>
              <w:top w:type="dxa" w:w="50"/>
              <w:left w:type="dxa" w:w="80"/>
              <w:bottom w:type="dxa" w:w="50"/>
              <w:right w:type="dxa" w:w="80"/>
            </w:tcMar>
          </w:tcPr>
          <w:p>
            <w:pPr>
              <w:spacing w:after="20" w:line="240"/>
              <w:jc w:val="center"/>
            </w:pPr>
            <w:r>
              <w:rPr>
                <w:sz w:val="16"/>
                <w:szCs w:val="16"/>
              </w:rPr>
              <w:t xml:space="preserve">I</w:t>
            </w:r>
          </w:p>
        </w:tc>
        <w:tc>
          <w:tcPr>
            <w:tcW w:type="dxa" w:w="812"/>
            <w:tcMar>
              <w:top w:type="dxa" w:w="50"/>
              <w:left w:type="dxa" w:w="80"/>
              <w:bottom w:type="dxa" w:w="50"/>
              <w:right w:type="dxa" w:w="80"/>
            </w:tcMar>
          </w:tcPr>
          <w:p>
            <w:pPr>
              <w:spacing w:after="20" w:line="240"/>
              <w:jc w:val="center"/>
            </w:pPr>
            <w:r>
              <w:rPr>
                <w:sz w:val="16"/>
                <w:szCs w:val="16"/>
              </w:rPr>
              <w:t xml:space="preserve">I</w:t>
            </w:r>
          </w:p>
        </w:tc>
        <w:tc>
          <w:tcPr>
            <w:tcW w:type="dxa" w:w="857"/>
            <w:tcMar>
              <w:top w:type="dxa" w:w="50"/>
              <w:left w:type="dxa" w:w="80"/>
              <w:bottom w:type="dxa" w:w="50"/>
              <w:right w:type="dxa" w:w="80"/>
            </w:tcMar>
          </w:tcPr>
          <w:p>
            <w:pPr>
              <w:spacing w:after="20" w:line="240"/>
              <w:jc w:val="center"/>
            </w:pPr>
            <w:r>
              <w:rPr>
                <w:sz w:val="16"/>
                <w:szCs w:val="16"/>
              </w:rPr>
              <w:t xml:space="preserve">—</w:t>
            </w:r>
          </w:p>
        </w:tc>
        <w:tc>
          <w:tcPr>
            <w:tcW w:type="dxa" w:w="857"/>
            <w:tcMar>
              <w:top w:type="dxa" w:w="50"/>
              <w:left w:type="dxa" w:w="80"/>
              <w:bottom w:type="dxa" w:w="50"/>
              <w:right w:type="dxa" w:w="80"/>
            </w:tcMar>
          </w:tcPr>
          <w:p>
            <w:pPr>
              <w:spacing w:after="20" w:line="240"/>
              <w:jc w:val="center"/>
            </w:pPr>
            <w:r>
              <w:rPr>
                <w:sz w:val="16"/>
                <w:szCs w:val="16"/>
              </w:rPr>
              <w:t xml:space="preserve">—</w:t>
            </w:r>
          </w:p>
        </w:tc>
        <w:tc>
          <w:tcPr>
            <w:tcW w:type="dxa" w:w="857"/>
            <w:tcMar>
              <w:top w:type="dxa" w:w="50"/>
              <w:left w:type="dxa" w:w="80"/>
              <w:bottom w:type="dxa" w:w="50"/>
              <w:right w:type="dxa" w:w="80"/>
            </w:tcMar>
          </w:tcPr>
          <w:p>
            <w:pPr>
              <w:spacing w:after="20" w:line="240"/>
              <w:jc w:val="center"/>
            </w:pPr>
            <w:r>
              <w:rPr>
                <w:sz w:val="16"/>
                <w:szCs w:val="16"/>
              </w:rPr>
              <w:t xml:space="preserve">—</w:t>
            </w:r>
          </w:p>
        </w:tc>
        <w:tc>
          <w:tcPr>
            <w:tcW w:type="dxa" w:w="767"/>
            <w:tcMar>
              <w:top w:type="dxa" w:w="50"/>
              <w:left w:type="dxa" w:w="80"/>
              <w:bottom w:type="dxa" w:w="50"/>
              <w:right w:type="dxa" w:w="80"/>
            </w:tcMar>
          </w:tcPr>
          <w:p>
            <w:pPr>
              <w:spacing w:after="20" w:line="240"/>
              <w:jc w:val="center"/>
            </w:pPr>
            <w:r>
              <w:rPr>
                <w:sz w:val="16"/>
                <w:szCs w:val="16"/>
              </w:rPr>
              <w:t xml:space="preserve">—</w:t>
            </w:r>
          </w:p>
        </w:tc>
      </w:tr>
      <w:tr>
        <w:tc>
          <w:tcPr>
            <w:tcW w:type="dxa" w:w="2166"/>
            <w:shd w:fill="F2F6FB" w:color="auto" w:val="clear"/>
            <w:tcMar>
              <w:top w:type="dxa" w:w="50"/>
              <w:left w:type="dxa" w:w="80"/>
              <w:bottom w:type="dxa" w:w="50"/>
              <w:right w:type="dxa" w:w="80"/>
            </w:tcMar>
          </w:tcPr>
          <w:p>
            <w:pPr>
              <w:spacing w:after="20" w:line="240"/>
            </w:pPr>
            <w:r>
              <w:rPr>
                <w:sz w:val="16"/>
                <w:szCs w:val="16"/>
              </w:rPr>
              <w:t xml:space="preserve">Triage &amp; severity</w:t>
            </w:r>
          </w:p>
        </w:tc>
        <w:tc>
          <w:tcPr>
            <w:tcW w:type="dxa" w:w="767"/>
            <w:shd w:fill="F2F6FB" w:color="auto" w:val="clear"/>
            <w:tcMar>
              <w:top w:type="dxa" w:w="50"/>
              <w:left w:type="dxa" w:w="80"/>
              <w:bottom w:type="dxa" w:w="50"/>
              <w:right w:type="dxa" w:w="80"/>
            </w:tcMar>
          </w:tcPr>
          <w:p>
            <w:pPr>
              <w:spacing w:after="20" w:line="240"/>
              <w:jc w:val="center"/>
            </w:pPr>
            <w:r>
              <w:rPr>
                <w:sz w:val="16"/>
                <w:szCs w:val="16"/>
              </w:rPr>
              <w:t xml:space="preserve">A</w:t>
            </w:r>
            <w:r>
              <w:rPr>
                <w:sz w:val="16"/>
                <w:szCs w:val="16"/>
              </w:rPr>
              <w:t xml:space="preserve">/R</w:t>
            </w:r>
          </w:p>
        </w:tc>
        <w:tc>
          <w:tcPr>
            <w:tcW w:type="dxa" w:w="1038"/>
            <w:shd w:fill="F2F6FB" w:color="auto" w:val="clear"/>
            <w:tcMar>
              <w:top w:type="dxa" w:w="50"/>
              <w:left w:type="dxa" w:w="80"/>
              <w:bottom w:type="dxa" w:w="50"/>
              <w:right w:type="dxa" w:w="80"/>
            </w:tcMar>
          </w:tcPr>
          <w:p>
            <w:pPr>
              <w:spacing w:after="20" w:line="240"/>
              <w:jc w:val="center"/>
            </w:pPr>
            <w:r>
              <w:rPr>
                <w:sz w:val="16"/>
                <w:szCs w:val="16"/>
              </w:rPr>
              <w:t xml:space="preserve">C</w:t>
            </w:r>
          </w:p>
        </w:tc>
        <w:tc>
          <w:tcPr>
            <w:tcW w:type="dxa" w:w="812"/>
            <w:shd w:fill="F2F6FB" w:color="auto" w:val="clear"/>
            <w:tcMar>
              <w:top w:type="dxa" w:w="50"/>
              <w:left w:type="dxa" w:w="80"/>
              <w:bottom w:type="dxa" w:w="50"/>
              <w:right w:type="dxa" w:w="80"/>
            </w:tcMar>
          </w:tcPr>
          <w:p>
            <w:pPr>
              <w:spacing w:after="20" w:line="240"/>
              <w:jc w:val="center"/>
            </w:pPr>
            <w:r>
              <w:rPr>
                <w:sz w:val="16"/>
                <w:szCs w:val="16"/>
              </w:rPr>
              <w:t xml:space="preserve">C</w:t>
            </w:r>
          </w:p>
        </w:tc>
        <w:tc>
          <w:tcPr>
            <w:tcW w:type="dxa" w:w="812"/>
            <w:shd w:fill="F2F6FB" w:color="auto" w:val="clear"/>
            <w:tcMar>
              <w:top w:type="dxa" w:w="50"/>
              <w:left w:type="dxa" w:w="80"/>
              <w:bottom w:type="dxa" w:w="50"/>
              <w:right w:type="dxa" w:w="80"/>
            </w:tcMar>
          </w:tcPr>
          <w:p>
            <w:pPr>
              <w:spacing w:after="20" w:line="240"/>
              <w:jc w:val="center"/>
            </w:pPr>
            <w:r>
              <w:rPr>
                <w:sz w:val="16"/>
                <w:szCs w:val="16"/>
              </w:rPr>
              <w:t xml:space="preserve">C</w:t>
            </w:r>
          </w:p>
        </w:tc>
        <w:tc>
          <w:tcPr>
            <w:tcW w:type="dxa" w:w="857"/>
            <w:shd w:fill="F2F6FB" w:color="auto" w:val="clear"/>
            <w:tcMar>
              <w:top w:type="dxa" w:w="50"/>
              <w:left w:type="dxa" w:w="80"/>
              <w:bottom w:type="dxa" w:w="50"/>
              <w:right w:type="dxa" w:w="80"/>
            </w:tcMar>
          </w:tcPr>
          <w:p>
            <w:pPr>
              <w:spacing w:after="20" w:line="240"/>
              <w:jc w:val="center"/>
            </w:pPr>
            <w:r>
              <w:rPr>
                <w:sz w:val="16"/>
                <w:szCs w:val="16"/>
              </w:rPr>
              <w:t xml:space="preserve">C</w:t>
            </w:r>
          </w:p>
        </w:tc>
        <w:tc>
          <w:tcPr>
            <w:tcW w:type="dxa" w:w="857"/>
            <w:shd w:fill="F2F6FB" w:color="auto" w:val="clear"/>
            <w:tcMar>
              <w:top w:type="dxa" w:w="50"/>
              <w:left w:type="dxa" w:w="80"/>
              <w:bottom w:type="dxa" w:w="50"/>
              <w:right w:type="dxa" w:w="80"/>
            </w:tcMar>
          </w:tcPr>
          <w:p>
            <w:pPr>
              <w:spacing w:after="20" w:line="240"/>
              <w:jc w:val="center"/>
            </w:pPr>
            <w:r>
              <w:rPr>
                <w:sz w:val="16"/>
                <w:szCs w:val="16"/>
              </w:rPr>
              <w:t xml:space="preserve">—</w:t>
            </w:r>
          </w:p>
        </w:tc>
        <w:tc>
          <w:tcPr>
            <w:tcW w:type="dxa" w:w="857"/>
            <w:shd w:fill="F2F6FB" w:color="auto" w:val="clear"/>
            <w:tcMar>
              <w:top w:type="dxa" w:w="50"/>
              <w:left w:type="dxa" w:w="80"/>
              <w:bottom w:type="dxa" w:w="50"/>
              <w:right w:type="dxa" w:w="80"/>
            </w:tcMar>
          </w:tcPr>
          <w:p>
            <w:pPr>
              <w:spacing w:after="20" w:line="240"/>
              <w:jc w:val="center"/>
            </w:pPr>
            <w:r>
              <w:rPr>
                <w:sz w:val="16"/>
                <w:szCs w:val="16"/>
              </w:rPr>
              <w:t xml:space="preserve">—</w:t>
            </w:r>
          </w:p>
        </w:tc>
        <w:tc>
          <w:tcPr>
            <w:tcW w:type="dxa" w:w="767"/>
            <w:shd w:fill="F2F6FB" w:color="auto" w:val="clear"/>
            <w:tcMar>
              <w:top w:type="dxa" w:w="50"/>
              <w:left w:type="dxa" w:w="80"/>
              <w:bottom w:type="dxa" w:w="50"/>
              <w:right w:type="dxa" w:w="80"/>
            </w:tcMar>
          </w:tcPr>
          <w:p>
            <w:pPr>
              <w:spacing w:after="20" w:line="240"/>
              <w:jc w:val="center"/>
            </w:pPr>
            <w:r>
              <w:rPr>
                <w:sz w:val="16"/>
                <w:szCs w:val="16"/>
              </w:rPr>
              <w:t xml:space="preserve">I</w:t>
            </w:r>
          </w:p>
        </w:tc>
      </w:tr>
      <w:tr>
        <w:tc>
          <w:tcPr>
            <w:tcW w:type="dxa" w:w="2166"/>
            <w:tcMar>
              <w:top w:type="dxa" w:w="50"/>
              <w:left w:type="dxa" w:w="80"/>
              <w:bottom w:type="dxa" w:w="50"/>
              <w:right w:type="dxa" w:w="80"/>
            </w:tcMar>
          </w:tcPr>
          <w:p>
            <w:pPr>
              <w:spacing w:after="20" w:line="240"/>
            </w:pPr>
            <w:r>
              <w:rPr>
                <w:sz w:val="16"/>
                <w:szCs w:val="16"/>
              </w:rPr>
              <w:t xml:space="preserve">Escalation &amp; notification</w:t>
            </w:r>
          </w:p>
        </w:tc>
        <w:tc>
          <w:tcPr>
            <w:tcW w:type="dxa" w:w="767"/>
            <w:tcMar>
              <w:top w:type="dxa" w:w="50"/>
              <w:left w:type="dxa" w:w="80"/>
              <w:bottom w:type="dxa" w:w="50"/>
              <w:right w:type="dxa" w:w="80"/>
            </w:tcMar>
          </w:tcPr>
          <w:p>
            <w:pPr>
              <w:spacing w:after="20" w:line="240"/>
              <w:jc w:val="center"/>
            </w:pPr>
            <w:r>
              <w:rPr>
                <w:sz w:val="16"/>
                <w:szCs w:val="16"/>
              </w:rPr>
              <w:t xml:space="preserve">A</w:t>
            </w:r>
          </w:p>
        </w:tc>
        <w:tc>
          <w:tcPr>
            <w:tcW w:type="dxa" w:w="1038"/>
            <w:tcMar>
              <w:top w:type="dxa" w:w="50"/>
              <w:left w:type="dxa" w:w="80"/>
              <w:bottom w:type="dxa" w:w="50"/>
              <w:right w:type="dxa" w:w="80"/>
            </w:tcMar>
          </w:tcPr>
          <w:p>
            <w:pPr>
              <w:spacing w:after="20" w:line="240"/>
              <w:jc w:val="center"/>
            </w:pPr>
            <w:r>
              <w:rPr>
                <w:sz w:val="16"/>
                <w:szCs w:val="16"/>
              </w:rPr>
              <w:t xml:space="preserve">I</w:t>
            </w:r>
          </w:p>
        </w:tc>
        <w:tc>
          <w:tcPr>
            <w:tcW w:type="dxa" w:w="812"/>
            <w:tcMar>
              <w:top w:type="dxa" w:w="50"/>
              <w:left w:type="dxa" w:w="80"/>
              <w:bottom w:type="dxa" w:w="50"/>
              <w:right w:type="dxa" w:w="80"/>
            </w:tcMar>
          </w:tcPr>
          <w:p>
            <w:pPr>
              <w:spacing w:after="20" w:line="240"/>
              <w:jc w:val="center"/>
            </w:pPr>
            <w:r>
              <w:rPr>
                <w:sz w:val="16"/>
                <w:szCs w:val="16"/>
              </w:rPr>
              <w:t xml:space="preserve">I</w:t>
            </w:r>
          </w:p>
        </w:tc>
        <w:tc>
          <w:tcPr>
            <w:tcW w:type="dxa" w:w="812"/>
            <w:tcMar>
              <w:top w:type="dxa" w:w="50"/>
              <w:left w:type="dxa" w:w="80"/>
              <w:bottom w:type="dxa" w:w="50"/>
              <w:right w:type="dxa" w:w="80"/>
            </w:tcMar>
          </w:tcPr>
          <w:p>
            <w:pPr>
              <w:spacing w:after="20" w:line="240"/>
              <w:jc w:val="center"/>
            </w:pPr>
            <w:r>
              <w:rPr>
                <w:sz w:val="16"/>
                <w:szCs w:val="16"/>
              </w:rPr>
              <w:t xml:space="preserve">C</w:t>
            </w:r>
          </w:p>
        </w:tc>
        <w:tc>
          <w:tcPr>
            <w:tcW w:type="dxa" w:w="857"/>
            <w:tcMar>
              <w:top w:type="dxa" w:w="50"/>
              <w:left w:type="dxa" w:w="80"/>
              <w:bottom w:type="dxa" w:w="50"/>
              <w:right w:type="dxa" w:w="80"/>
            </w:tcMar>
          </w:tcPr>
          <w:p>
            <w:pPr>
              <w:spacing w:after="20" w:line="240"/>
              <w:jc w:val="center"/>
            </w:pPr>
            <w:r>
              <w:rPr>
                <w:sz w:val="16"/>
                <w:szCs w:val="16"/>
              </w:rPr>
              <w:t xml:space="preserve">R</w:t>
            </w:r>
          </w:p>
        </w:tc>
        <w:tc>
          <w:tcPr>
            <w:tcW w:type="dxa" w:w="857"/>
            <w:tcMar>
              <w:top w:type="dxa" w:w="50"/>
              <w:left w:type="dxa" w:w="80"/>
              <w:bottom w:type="dxa" w:w="50"/>
              <w:right w:type="dxa" w:w="80"/>
            </w:tcMar>
          </w:tcPr>
          <w:p>
            <w:pPr>
              <w:spacing w:after="20" w:line="240"/>
              <w:jc w:val="center"/>
            </w:pPr>
            <w:r>
              <w:rPr>
                <w:sz w:val="16"/>
                <w:szCs w:val="16"/>
              </w:rPr>
              <w:t xml:space="preserve">R</w:t>
            </w:r>
          </w:p>
        </w:tc>
        <w:tc>
          <w:tcPr>
            <w:tcW w:type="dxa" w:w="857"/>
            <w:tcMar>
              <w:top w:type="dxa" w:w="50"/>
              <w:left w:type="dxa" w:w="80"/>
              <w:bottom w:type="dxa" w:w="50"/>
              <w:right w:type="dxa" w:w="80"/>
            </w:tcMar>
          </w:tcPr>
          <w:p>
            <w:pPr>
              <w:spacing w:after="20" w:line="240"/>
              <w:jc w:val="center"/>
            </w:pPr>
            <w:r>
              <w:rPr>
                <w:sz w:val="16"/>
                <w:szCs w:val="16"/>
              </w:rPr>
              <w:t xml:space="preserve">R</w:t>
            </w:r>
          </w:p>
        </w:tc>
        <w:tc>
          <w:tcPr>
            <w:tcW w:type="dxa" w:w="767"/>
            <w:tcMar>
              <w:top w:type="dxa" w:w="50"/>
              <w:left w:type="dxa" w:w="80"/>
              <w:bottom w:type="dxa" w:w="50"/>
              <w:right w:type="dxa" w:w="80"/>
            </w:tcMar>
          </w:tcPr>
          <w:p>
            <w:pPr>
              <w:spacing w:after="20" w:line="240"/>
              <w:jc w:val="center"/>
            </w:pPr>
            <w:r>
              <w:rPr>
                <w:sz w:val="16"/>
                <w:szCs w:val="16"/>
              </w:rPr>
              <w:t xml:space="preserve">I</w:t>
            </w:r>
          </w:p>
        </w:tc>
      </w:tr>
      <w:tr>
        <w:tc>
          <w:tcPr>
            <w:tcW w:type="dxa" w:w="2166"/>
            <w:shd w:fill="F2F6FB" w:color="auto" w:val="clear"/>
            <w:tcMar>
              <w:top w:type="dxa" w:w="50"/>
              <w:left w:type="dxa" w:w="80"/>
              <w:bottom w:type="dxa" w:w="50"/>
              <w:right w:type="dxa" w:w="80"/>
            </w:tcMar>
          </w:tcPr>
          <w:p>
            <w:pPr>
              <w:spacing w:after="20" w:line="240"/>
            </w:pPr>
            <w:r>
              <w:rPr>
                <w:sz w:val="16"/>
                <w:szCs w:val="16"/>
              </w:rPr>
              <w:t xml:space="preserve">Containment</w:t>
            </w:r>
          </w:p>
        </w:tc>
        <w:tc>
          <w:tcPr>
            <w:tcW w:type="dxa" w:w="767"/>
            <w:shd w:fill="F2F6FB" w:color="auto" w:val="clear"/>
            <w:tcMar>
              <w:top w:type="dxa" w:w="50"/>
              <w:left w:type="dxa" w:w="80"/>
              <w:bottom w:type="dxa" w:w="50"/>
              <w:right w:type="dxa" w:w="80"/>
            </w:tcMar>
          </w:tcPr>
          <w:p>
            <w:pPr>
              <w:spacing w:after="20" w:line="240"/>
              <w:jc w:val="center"/>
            </w:pPr>
            <w:r>
              <w:rPr>
                <w:sz w:val="16"/>
                <w:szCs w:val="16"/>
              </w:rPr>
              <w:t xml:space="preserve">A</w:t>
            </w:r>
          </w:p>
        </w:tc>
        <w:tc>
          <w:tcPr>
            <w:tcW w:type="dxa" w:w="1038"/>
            <w:shd w:fill="F2F6FB" w:color="auto" w:val="clear"/>
            <w:tcMar>
              <w:top w:type="dxa" w:w="50"/>
              <w:left w:type="dxa" w:w="80"/>
              <w:bottom w:type="dxa" w:w="50"/>
              <w:right w:type="dxa" w:w="80"/>
            </w:tcMar>
          </w:tcPr>
          <w:p>
            <w:pPr>
              <w:spacing w:after="20" w:line="240"/>
              <w:jc w:val="center"/>
            </w:pPr>
            <w:r>
              <w:rPr>
                <w:sz w:val="16"/>
                <w:szCs w:val="16"/>
              </w:rPr>
              <w:t xml:space="preserve">R</w:t>
            </w:r>
          </w:p>
        </w:tc>
        <w:tc>
          <w:tcPr>
            <w:tcW w:type="dxa" w:w="812"/>
            <w:shd w:fill="F2F6FB" w:color="auto" w:val="clear"/>
            <w:tcMar>
              <w:top w:type="dxa" w:w="50"/>
              <w:left w:type="dxa" w:w="80"/>
              <w:bottom w:type="dxa" w:w="50"/>
              <w:right w:type="dxa" w:w="80"/>
            </w:tcMar>
          </w:tcPr>
          <w:p>
            <w:pPr>
              <w:spacing w:after="20" w:line="240"/>
              <w:jc w:val="center"/>
            </w:pPr>
            <w:r>
              <w:rPr>
                <w:sz w:val="16"/>
                <w:szCs w:val="16"/>
              </w:rPr>
              <w:t xml:space="preserve">R</w:t>
            </w:r>
          </w:p>
        </w:tc>
        <w:tc>
          <w:tcPr>
            <w:tcW w:type="dxa" w:w="812"/>
            <w:shd w:fill="F2F6FB" w:color="auto" w:val="clear"/>
            <w:tcMar>
              <w:top w:type="dxa" w:w="50"/>
              <w:left w:type="dxa" w:w="80"/>
              <w:bottom w:type="dxa" w:w="50"/>
              <w:right w:type="dxa" w:w="80"/>
            </w:tcMar>
          </w:tcPr>
          <w:p>
            <w:pPr>
              <w:spacing w:after="20" w:line="240"/>
              <w:jc w:val="center"/>
            </w:pPr>
            <w:r>
              <w:rPr>
                <w:sz w:val="16"/>
                <w:szCs w:val="16"/>
              </w:rPr>
              <w:t xml:space="preserve">C</w:t>
            </w:r>
          </w:p>
        </w:tc>
        <w:tc>
          <w:tcPr>
            <w:tcW w:type="dxa" w:w="857"/>
            <w:shd w:fill="F2F6FB" w:color="auto" w:val="clear"/>
            <w:tcMar>
              <w:top w:type="dxa" w:w="50"/>
              <w:left w:type="dxa" w:w="80"/>
              <w:bottom w:type="dxa" w:w="50"/>
              <w:right w:type="dxa" w:w="80"/>
            </w:tcMar>
          </w:tcPr>
          <w:p>
            <w:pPr>
              <w:spacing w:after="20" w:line="240"/>
              <w:jc w:val="center"/>
            </w:pPr>
            <w:r>
              <w:rPr>
                <w:sz w:val="16"/>
                <w:szCs w:val="16"/>
              </w:rPr>
              <w:t xml:space="preserve">C</w:t>
            </w:r>
          </w:p>
        </w:tc>
        <w:tc>
          <w:tcPr>
            <w:tcW w:type="dxa" w:w="857"/>
            <w:shd w:fill="F2F6FB" w:color="auto" w:val="clear"/>
            <w:tcMar>
              <w:top w:type="dxa" w:w="50"/>
              <w:left w:type="dxa" w:w="80"/>
              <w:bottom w:type="dxa" w:w="50"/>
              <w:right w:type="dxa" w:w="80"/>
            </w:tcMar>
          </w:tcPr>
          <w:p>
            <w:pPr>
              <w:spacing w:after="20" w:line="240"/>
              <w:jc w:val="center"/>
            </w:pPr>
            <w:r>
              <w:rPr>
                <w:sz w:val="16"/>
                <w:szCs w:val="16"/>
              </w:rPr>
              <w:t xml:space="preserve">C</w:t>
            </w:r>
          </w:p>
        </w:tc>
        <w:tc>
          <w:tcPr>
            <w:tcW w:type="dxa" w:w="857"/>
            <w:shd w:fill="F2F6FB" w:color="auto" w:val="clear"/>
            <w:tcMar>
              <w:top w:type="dxa" w:w="50"/>
              <w:left w:type="dxa" w:w="80"/>
              <w:bottom w:type="dxa" w:w="50"/>
              <w:right w:type="dxa" w:w="80"/>
            </w:tcMar>
          </w:tcPr>
          <w:p>
            <w:pPr>
              <w:spacing w:after="20" w:line="240"/>
              <w:jc w:val="center"/>
            </w:pPr>
            <w:r>
              <w:rPr>
                <w:sz w:val="16"/>
                <w:szCs w:val="16"/>
              </w:rPr>
              <w:t xml:space="preserve">I</w:t>
            </w:r>
          </w:p>
        </w:tc>
        <w:tc>
          <w:tcPr>
            <w:tcW w:type="dxa" w:w="767"/>
            <w:shd w:fill="F2F6FB" w:color="auto" w:val="clear"/>
            <w:tcMar>
              <w:top w:type="dxa" w:w="50"/>
              <w:left w:type="dxa" w:w="80"/>
              <w:bottom w:type="dxa" w:w="50"/>
              <w:right w:type="dxa" w:w="80"/>
            </w:tcMar>
          </w:tcPr>
          <w:p>
            <w:pPr>
              <w:spacing w:after="20" w:line="240"/>
              <w:jc w:val="center"/>
            </w:pPr>
            <w:r>
              <w:rPr>
                <w:sz w:val="16"/>
                <w:szCs w:val="16"/>
              </w:rPr>
              <w:t xml:space="preserve">I</w:t>
            </w:r>
          </w:p>
        </w:tc>
      </w:tr>
      <w:tr>
        <w:tc>
          <w:tcPr>
            <w:tcW w:type="dxa" w:w="2166"/>
            <w:tcMar>
              <w:top w:type="dxa" w:w="50"/>
              <w:left w:type="dxa" w:w="80"/>
              <w:bottom w:type="dxa" w:w="50"/>
              <w:right w:type="dxa" w:w="80"/>
            </w:tcMar>
          </w:tcPr>
          <w:p>
            <w:pPr>
              <w:spacing w:after="20" w:line="240"/>
            </w:pPr>
            <w:r>
              <w:rPr>
                <w:sz w:val="16"/>
                <w:szCs w:val="16"/>
              </w:rPr>
              <w:t xml:space="preserve">RCA</w:t>
            </w:r>
          </w:p>
        </w:tc>
        <w:tc>
          <w:tcPr>
            <w:tcW w:type="dxa" w:w="767"/>
            <w:tcMar>
              <w:top w:type="dxa" w:w="50"/>
              <w:left w:type="dxa" w:w="80"/>
              <w:bottom w:type="dxa" w:w="50"/>
              <w:right w:type="dxa" w:w="80"/>
            </w:tcMar>
          </w:tcPr>
          <w:p>
            <w:pPr>
              <w:spacing w:after="20" w:line="240"/>
              <w:jc w:val="center"/>
            </w:pPr>
            <w:r>
              <w:rPr>
                <w:sz w:val="16"/>
                <w:szCs w:val="16"/>
              </w:rPr>
              <w:t xml:space="preserve">C</w:t>
            </w:r>
          </w:p>
        </w:tc>
        <w:tc>
          <w:tcPr>
            <w:tcW w:type="dxa" w:w="1038"/>
            <w:tcMar>
              <w:top w:type="dxa" w:w="50"/>
              <w:left w:type="dxa" w:w="80"/>
              <w:bottom w:type="dxa" w:w="50"/>
              <w:right w:type="dxa" w:w="80"/>
            </w:tcMar>
          </w:tcPr>
          <w:p>
            <w:pPr>
              <w:spacing w:after="20" w:line="240"/>
              <w:jc w:val="center"/>
            </w:pPr>
            <w:r>
              <w:rPr>
                <w:sz w:val="16"/>
                <w:szCs w:val="16"/>
              </w:rPr>
              <w:t xml:space="preserve">A</w:t>
            </w:r>
            <w:r>
              <w:rPr>
                <w:sz w:val="16"/>
                <w:szCs w:val="16"/>
              </w:rPr>
              <w:t xml:space="preserve">/R</w:t>
            </w:r>
          </w:p>
        </w:tc>
        <w:tc>
          <w:tcPr>
            <w:tcW w:type="dxa" w:w="812"/>
            <w:tcMar>
              <w:top w:type="dxa" w:w="50"/>
              <w:left w:type="dxa" w:w="80"/>
              <w:bottom w:type="dxa" w:w="50"/>
              <w:right w:type="dxa" w:w="80"/>
            </w:tcMar>
          </w:tcPr>
          <w:p>
            <w:pPr>
              <w:spacing w:after="20" w:line="240"/>
              <w:jc w:val="center"/>
            </w:pPr>
            <w:r>
              <w:rPr>
                <w:sz w:val="16"/>
                <w:szCs w:val="16"/>
              </w:rPr>
              <w:t xml:space="preserve">R</w:t>
            </w:r>
          </w:p>
        </w:tc>
        <w:tc>
          <w:tcPr>
            <w:tcW w:type="dxa" w:w="812"/>
            <w:tcMar>
              <w:top w:type="dxa" w:w="50"/>
              <w:left w:type="dxa" w:w="80"/>
              <w:bottom w:type="dxa" w:w="50"/>
              <w:right w:type="dxa" w:w="80"/>
            </w:tcMar>
          </w:tcPr>
          <w:p>
            <w:pPr>
              <w:spacing w:after="20" w:line="240"/>
              <w:jc w:val="center"/>
            </w:pPr>
            <w:r>
              <w:rPr>
                <w:sz w:val="16"/>
                <w:szCs w:val="16"/>
              </w:rPr>
              <w:t xml:space="preserve">C</w:t>
            </w:r>
          </w:p>
        </w:tc>
        <w:tc>
          <w:tcPr>
            <w:tcW w:type="dxa" w:w="857"/>
            <w:tcMar>
              <w:top w:type="dxa" w:w="50"/>
              <w:left w:type="dxa" w:w="80"/>
              <w:bottom w:type="dxa" w:w="50"/>
              <w:right w:type="dxa" w:w="80"/>
            </w:tcMar>
          </w:tcPr>
          <w:p>
            <w:pPr>
              <w:spacing w:after="20" w:line="240"/>
              <w:jc w:val="center"/>
            </w:pPr>
            <w:r>
              <w:rPr>
                <w:sz w:val="16"/>
                <w:szCs w:val="16"/>
              </w:rPr>
              <w:t xml:space="preserve">C</w:t>
            </w:r>
          </w:p>
        </w:tc>
        <w:tc>
          <w:tcPr>
            <w:tcW w:type="dxa" w:w="857"/>
            <w:tcMar>
              <w:top w:type="dxa" w:w="50"/>
              <w:left w:type="dxa" w:w="80"/>
              <w:bottom w:type="dxa" w:w="50"/>
              <w:right w:type="dxa" w:w="80"/>
            </w:tcMar>
          </w:tcPr>
          <w:p>
            <w:pPr>
              <w:spacing w:after="20" w:line="240"/>
              <w:jc w:val="center"/>
            </w:pPr>
            <w:r>
              <w:rPr>
                <w:sz w:val="16"/>
                <w:szCs w:val="16"/>
              </w:rPr>
              <w:t xml:space="preserve">—</w:t>
            </w:r>
          </w:p>
        </w:tc>
        <w:tc>
          <w:tcPr>
            <w:tcW w:type="dxa" w:w="857"/>
            <w:tcMar>
              <w:top w:type="dxa" w:w="50"/>
              <w:left w:type="dxa" w:w="80"/>
              <w:bottom w:type="dxa" w:w="50"/>
              <w:right w:type="dxa" w:w="80"/>
            </w:tcMar>
          </w:tcPr>
          <w:p>
            <w:pPr>
              <w:spacing w:after="20" w:line="240"/>
              <w:jc w:val="center"/>
            </w:pPr>
            <w:r>
              <w:rPr>
                <w:sz w:val="16"/>
                <w:szCs w:val="16"/>
              </w:rPr>
              <w:t xml:space="preserve">—</w:t>
            </w:r>
          </w:p>
        </w:tc>
        <w:tc>
          <w:tcPr>
            <w:tcW w:type="dxa" w:w="767"/>
            <w:tcMar>
              <w:top w:type="dxa" w:w="50"/>
              <w:left w:type="dxa" w:w="80"/>
              <w:bottom w:type="dxa" w:w="50"/>
              <w:right w:type="dxa" w:w="80"/>
            </w:tcMar>
          </w:tcPr>
          <w:p>
            <w:pPr>
              <w:spacing w:after="20" w:line="240"/>
              <w:jc w:val="center"/>
            </w:pPr>
            <w:r>
              <w:rPr>
                <w:sz w:val="16"/>
                <w:szCs w:val="16"/>
              </w:rPr>
              <w:t xml:space="preserve">I</w:t>
            </w:r>
          </w:p>
        </w:tc>
      </w:tr>
      <w:tr>
        <w:tc>
          <w:tcPr>
            <w:tcW w:type="dxa" w:w="2166"/>
            <w:shd w:fill="F2F6FB" w:color="auto" w:val="clear"/>
            <w:tcMar>
              <w:top w:type="dxa" w:w="50"/>
              <w:left w:type="dxa" w:w="80"/>
              <w:bottom w:type="dxa" w:w="50"/>
              <w:right w:type="dxa" w:w="80"/>
            </w:tcMar>
          </w:tcPr>
          <w:p>
            <w:pPr>
              <w:spacing w:after="20" w:line="240"/>
            </w:pPr>
            <w:r>
              <w:rPr>
                <w:sz w:val="16"/>
                <w:szCs w:val="16"/>
              </w:rPr>
              <w:t xml:space="preserve">Remediation &amp; verification</w:t>
            </w:r>
          </w:p>
        </w:tc>
        <w:tc>
          <w:tcPr>
            <w:tcW w:type="dxa" w:w="767"/>
            <w:shd w:fill="F2F6FB" w:color="auto" w:val="clear"/>
            <w:tcMar>
              <w:top w:type="dxa" w:w="50"/>
              <w:left w:type="dxa" w:w="80"/>
              <w:bottom w:type="dxa" w:w="50"/>
              <w:right w:type="dxa" w:w="80"/>
            </w:tcMar>
          </w:tcPr>
          <w:p>
            <w:pPr>
              <w:spacing w:after="20" w:line="240"/>
              <w:jc w:val="center"/>
            </w:pPr>
            <w:r>
              <w:rPr>
                <w:sz w:val="16"/>
                <w:szCs w:val="16"/>
              </w:rPr>
              <w:t xml:space="preserve">C</w:t>
            </w:r>
          </w:p>
        </w:tc>
        <w:tc>
          <w:tcPr>
            <w:tcW w:type="dxa" w:w="1038"/>
            <w:shd w:fill="F2F6FB" w:color="auto" w:val="clear"/>
            <w:tcMar>
              <w:top w:type="dxa" w:w="50"/>
              <w:left w:type="dxa" w:w="80"/>
              <w:bottom w:type="dxa" w:w="50"/>
              <w:right w:type="dxa" w:w="80"/>
            </w:tcMar>
          </w:tcPr>
          <w:p>
            <w:pPr>
              <w:spacing w:after="20" w:line="240"/>
              <w:jc w:val="center"/>
            </w:pPr>
            <w:r>
              <w:rPr>
                <w:sz w:val="16"/>
                <w:szCs w:val="16"/>
              </w:rPr>
              <w:t xml:space="preserve">A</w:t>
            </w:r>
            <w:r>
              <w:rPr>
                <w:sz w:val="16"/>
                <w:szCs w:val="16"/>
              </w:rPr>
              <w:t xml:space="preserve">/R</w:t>
            </w:r>
          </w:p>
        </w:tc>
        <w:tc>
          <w:tcPr>
            <w:tcW w:type="dxa" w:w="812"/>
            <w:shd w:fill="F2F6FB" w:color="auto" w:val="clear"/>
            <w:tcMar>
              <w:top w:type="dxa" w:w="50"/>
              <w:left w:type="dxa" w:w="80"/>
              <w:bottom w:type="dxa" w:w="50"/>
              <w:right w:type="dxa" w:w="80"/>
            </w:tcMar>
          </w:tcPr>
          <w:p>
            <w:pPr>
              <w:spacing w:after="20" w:line="240"/>
              <w:jc w:val="center"/>
            </w:pPr>
            <w:r>
              <w:rPr>
                <w:sz w:val="16"/>
                <w:szCs w:val="16"/>
              </w:rPr>
              <w:t xml:space="preserve">R</w:t>
            </w:r>
          </w:p>
        </w:tc>
        <w:tc>
          <w:tcPr>
            <w:tcW w:type="dxa" w:w="812"/>
            <w:shd w:fill="F2F6FB" w:color="auto" w:val="clear"/>
            <w:tcMar>
              <w:top w:type="dxa" w:w="50"/>
              <w:left w:type="dxa" w:w="80"/>
              <w:bottom w:type="dxa" w:w="50"/>
              <w:right w:type="dxa" w:w="80"/>
            </w:tcMar>
          </w:tcPr>
          <w:p>
            <w:pPr>
              <w:spacing w:after="20" w:line="240"/>
              <w:jc w:val="center"/>
            </w:pPr>
            <w:r>
              <w:rPr>
                <w:sz w:val="16"/>
                <w:szCs w:val="16"/>
              </w:rPr>
              <w:t xml:space="preserve">C</w:t>
            </w:r>
          </w:p>
        </w:tc>
        <w:tc>
          <w:tcPr>
            <w:tcW w:type="dxa" w:w="857"/>
            <w:shd w:fill="F2F6FB" w:color="auto" w:val="clear"/>
            <w:tcMar>
              <w:top w:type="dxa" w:w="50"/>
              <w:left w:type="dxa" w:w="80"/>
              <w:bottom w:type="dxa" w:w="50"/>
              <w:right w:type="dxa" w:w="80"/>
            </w:tcMar>
          </w:tcPr>
          <w:p>
            <w:pPr>
              <w:spacing w:after="20" w:line="240"/>
              <w:jc w:val="center"/>
            </w:pPr>
            <w:r>
              <w:rPr>
                <w:sz w:val="16"/>
                <w:szCs w:val="16"/>
              </w:rPr>
              <w:t xml:space="preserve">—</w:t>
            </w:r>
          </w:p>
        </w:tc>
        <w:tc>
          <w:tcPr>
            <w:tcW w:type="dxa" w:w="857"/>
            <w:shd w:fill="F2F6FB" w:color="auto" w:val="clear"/>
            <w:tcMar>
              <w:top w:type="dxa" w:w="50"/>
              <w:left w:type="dxa" w:w="80"/>
              <w:bottom w:type="dxa" w:w="50"/>
              <w:right w:type="dxa" w:w="80"/>
            </w:tcMar>
          </w:tcPr>
          <w:p>
            <w:pPr>
              <w:spacing w:after="20" w:line="240"/>
              <w:jc w:val="center"/>
            </w:pPr>
            <w:r>
              <w:rPr>
                <w:sz w:val="16"/>
                <w:szCs w:val="16"/>
              </w:rPr>
              <w:t xml:space="preserve">—</w:t>
            </w:r>
          </w:p>
        </w:tc>
        <w:tc>
          <w:tcPr>
            <w:tcW w:type="dxa" w:w="857"/>
            <w:shd w:fill="F2F6FB" w:color="auto" w:val="clear"/>
            <w:tcMar>
              <w:top w:type="dxa" w:w="50"/>
              <w:left w:type="dxa" w:w="80"/>
              <w:bottom w:type="dxa" w:w="50"/>
              <w:right w:type="dxa" w:w="80"/>
            </w:tcMar>
          </w:tcPr>
          <w:p>
            <w:pPr>
              <w:spacing w:after="20" w:line="240"/>
              <w:jc w:val="center"/>
            </w:pPr>
            <w:r>
              <w:rPr>
                <w:sz w:val="16"/>
                <w:szCs w:val="16"/>
              </w:rPr>
              <w:t xml:space="preserve">—</w:t>
            </w:r>
          </w:p>
        </w:tc>
        <w:tc>
          <w:tcPr>
            <w:tcW w:type="dxa" w:w="767"/>
            <w:shd w:fill="F2F6FB" w:color="auto" w:val="clear"/>
            <w:tcMar>
              <w:top w:type="dxa" w:w="50"/>
              <w:left w:type="dxa" w:w="80"/>
              <w:bottom w:type="dxa" w:w="50"/>
              <w:right w:type="dxa" w:w="80"/>
            </w:tcMar>
          </w:tcPr>
          <w:p>
            <w:pPr>
              <w:spacing w:after="20" w:line="240"/>
              <w:jc w:val="center"/>
            </w:pPr>
            <w:r>
              <w:rPr>
                <w:sz w:val="16"/>
                <w:szCs w:val="16"/>
              </w:rPr>
              <w:t xml:space="preserve">I</w:t>
            </w:r>
          </w:p>
        </w:tc>
      </w:tr>
      <w:tr>
        <w:tc>
          <w:tcPr>
            <w:tcW w:type="dxa" w:w="2166"/>
            <w:tcMar>
              <w:top w:type="dxa" w:w="50"/>
              <w:left w:type="dxa" w:w="80"/>
              <w:bottom w:type="dxa" w:w="50"/>
              <w:right w:type="dxa" w:w="80"/>
            </w:tcMar>
          </w:tcPr>
          <w:p>
            <w:pPr>
              <w:spacing w:after="20" w:line="240"/>
            </w:pPr>
            <w:r>
              <w:rPr>
                <w:sz w:val="16"/>
                <w:szCs w:val="16"/>
              </w:rPr>
              <w:t xml:space="preserve">Post-incident review</w:t>
            </w:r>
          </w:p>
        </w:tc>
        <w:tc>
          <w:tcPr>
            <w:tcW w:type="dxa" w:w="767"/>
            <w:tcMar>
              <w:top w:type="dxa" w:w="50"/>
              <w:left w:type="dxa" w:w="80"/>
              <w:bottom w:type="dxa" w:w="50"/>
              <w:right w:type="dxa" w:w="80"/>
            </w:tcMar>
          </w:tcPr>
          <w:p>
            <w:pPr>
              <w:spacing w:after="20" w:line="240"/>
              <w:jc w:val="center"/>
            </w:pPr>
            <w:r>
              <w:rPr>
                <w:sz w:val="16"/>
                <w:szCs w:val="16"/>
              </w:rPr>
              <w:t xml:space="preserve">R</w:t>
            </w:r>
          </w:p>
        </w:tc>
        <w:tc>
          <w:tcPr>
            <w:tcW w:type="dxa" w:w="1038"/>
            <w:tcMar>
              <w:top w:type="dxa" w:w="50"/>
              <w:left w:type="dxa" w:w="80"/>
              <w:bottom w:type="dxa" w:w="50"/>
              <w:right w:type="dxa" w:w="80"/>
            </w:tcMar>
          </w:tcPr>
          <w:p>
            <w:pPr>
              <w:spacing w:after="20" w:line="240"/>
              <w:jc w:val="center"/>
            </w:pPr>
            <w:r>
              <w:rPr>
                <w:sz w:val="16"/>
                <w:szCs w:val="16"/>
              </w:rPr>
              <w:t xml:space="preserve">R</w:t>
            </w:r>
          </w:p>
        </w:tc>
        <w:tc>
          <w:tcPr>
            <w:tcW w:type="dxa" w:w="812"/>
            <w:tcMar>
              <w:top w:type="dxa" w:w="50"/>
              <w:left w:type="dxa" w:w="80"/>
              <w:bottom w:type="dxa" w:w="50"/>
              <w:right w:type="dxa" w:w="80"/>
            </w:tcMar>
          </w:tcPr>
          <w:p>
            <w:pPr>
              <w:spacing w:after="20" w:line="240"/>
              <w:jc w:val="center"/>
            </w:pPr>
            <w:r>
              <w:rPr>
                <w:sz w:val="16"/>
                <w:szCs w:val="16"/>
              </w:rPr>
              <w:t xml:space="preserve">C</w:t>
            </w:r>
          </w:p>
        </w:tc>
        <w:tc>
          <w:tcPr>
            <w:tcW w:type="dxa" w:w="812"/>
            <w:tcMar>
              <w:top w:type="dxa" w:w="50"/>
              <w:left w:type="dxa" w:w="80"/>
              <w:bottom w:type="dxa" w:w="50"/>
              <w:right w:type="dxa" w:w="80"/>
            </w:tcMar>
          </w:tcPr>
          <w:p>
            <w:pPr>
              <w:spacing w:after="20" w:line="240"/>
              <w:jc w:val="center"/>
            </w:pPr>
            <w:r>
              <w:rPr>
                <w:sz w:val="16"/>
                <w:szCs w:val="16"/>
              </w:rPr>
              <w:t xml:space="preserve">A</w:t>
            </w:r>
          </w:p>
        </w:tc>
        <w:tc>
          <w:tcPr>
            <w:tcW w:type="dxa" w:w="857"/>
            <w:tcMar>
              <w:top w:type="dxa" w:w="50"/>
              <w:left w:type="dxa" w:w="80"/>
              <w:bottom w:type="dxa" w:w="50"/>
              <w:right w:type="dxa" w:w="80"/>
            </w:tcMar>
          </w:tcPr>
          <w:p>
            <w:pPr>
              <w:spacing w:after="20" w:line="240"/>
              <w:jc w:val="center"/>
            </w:pPr>
            <w:r>
              <w:rPr>
                <w:sz w:val="16"/>
                <w:szCs w:val="16"/>
              </w:rPr>
              <w:t xml:space="preserve">C</w:t>
            </w:r>
          </w:p>
        </w:tc>
        <w:tc>
          <w:tcPr>
            <w:tcW w:type="dxa" w:w="857"/>
            <w:tcMar>
              <w:top w:type="dxa" w:w="50"/>
              <w:left w:type="dxa" w:w="80"/>
              <w:bottom w:type="dxa" w:w="50"/>
              <w:right w:type="dxa" w:w="80"/>
            </w:tcMar>
          </w:tcPr>
          <w:p>
            <w:pPr>
              <w:spacing w:after="20" w:line="240"/>
              <w:jc w:val="center"/>
            </w:pPr>
            <w:r>
              <w:rPr>
                <w:sz w:val="16"/>
                <w:szCs w:val="16"/>
              </w:rPr>
              <w:t xml:space="preserve">C</w:t>
            </w:r>
          </w:p>
        </w:tc>
        <w:tc>
          <w:tcPr>
            <w:tcW w:type="dxa" w:w="857"/>
            <w:tcMar>
              <w:top w:type="dxa" w:w="50"/>
              <w:left w:type="dxa" w:w="80"/>
              <w:bottom w:type="dxa" w:w="50"/>
              <w:right w:type="dxa" w:w="80"/>
            </w:tcMar>
          </w:tcPr>
          <w:p>
            <w:pPr>
              <w:spacing w:after="20" w:line="240"/>
              <w:jc w:val="center"/>
            </w:pPr>
            <w:r>
              <w:rPr>
                <w:sz w:val="16"/>
                <w:szCs w:val="16"/>
              </w:rPr>
              <w:t xml:space="preserve">C</w:t>
            </w:r>
          </w:p>
        </w:tc>
        <w:tc>
          <w:tcPr>
            <w:tcW w:type="dxa" w:w="767"/>
            <w:tcMar>
              <w:top w:type="dxa" w:w="50"/>
              <w:left w:type="dxa" w:w="80"/>
              <w:bottom w:type="dxa" w:w="50"/>
              <w:right w:type="dxa" w:w="80"/>
            </w:tcMar>
          </w:tcPr>
          <w:p>
            <w:pPr>
              <w:spacing w:after="20" w:line="240"/>
              <w:jc w:val="center"/>
            </w:pPr>
            <w:r>
              <w:rPr>
                <w:sz w:val="16"/>
                <w:szCs w:val="16"/>
              </w:rPr>
              <w:t xml:space="preserve">I</w:t>
            </w:r>
          </w:p>
        </w:tc>
      </w:tr>
      <w:tr>
        <w:tc>
          <w:tcPr>
            <w:tcW w:type="dxa" w:w="2166"/>
            <w:shd w:fill="F2F6FB" w:color="auto" w:val="clear"/>
            <w:tcMar>
              <w:top w:type="dxa" w:w="50"/>
              <w:left w:type="dxa" w:w="80"/>
              <w:bottom w:type="dxa" w:w="50"/>
              <w:right w:type="dxa" w:w="80"/>
            </w:tcMar>
          </w:tcPr>
          <w:p>
            <w:pPr>
              <w:spacing w:after="20" w:line="240"/>
            </w:pPr>
            <w:r>
              <w:rPr>
                <w:sz w:val="16"/>
                <w:szCs w:val="16"/>
              </w:rPr>
              <w:t xml:space="preserve">Regulatory reporting</w:t>
            </w:r>
          </w:p>
        </w:tc>
        <w:tc>
          <w:tcPr>
            <w:tcW w:type="dxa" w:w="767"/>
            <w:shd w:fill="F2F6FB" w:color="auto" w:val="clear"/>
            <w:tcMar>
              <w:top w:type="dxa" w:w="50"/>
              <w:left w:type="dxa" w:w="80"/>
              <w:bottom w:type="dxa" w:w="50"/>
              <w:right w:type="dxa" w:w="80"/>
            </w:tcMar>
          </w:tcPr>
          <w:p>
            <w:pPr>
              <w:spacing w:after="20" w:line="240"/>
              <w:jc w:val="center"/>
            </w:pPr>
            <w:r>
              <w:rPr>
                <w:sz w:val="16"/>
                <w:szCs w:val="16"/>
              </w:rPr>
              <w:t xml:space="preserve">C</w:t>
            </w:r>
          </w:p>
        </w:tc>
        <w:tc>
          <w:tcPr>
            <w:tcW w:type="dxa" w:w="1038"/>
            <w:shd w:fill="F2F6FB" w:color="auto" w:val="clear"/>
            <w:tcMar>
              <w:top w:type="dxa" w:w="50"/>
              <w:left w:type="dxa" w:w="80"/>
              <w:bottom w:type="dxa" w:w="50"/>
              <w:right w:type="dxa" w:w="80"/>
            </w:tcMar>
          </w:tcPr>
          <w:p>
            <w:pPr>
              <w:spacing w:after="20" w:line="240"/>
              <w:jc w:val="center"/>
            </w:pPr>
            <w:r>
              <w:rPr>
                <w:sz w:val="16"/>
                <w:szCs w:val="16"/>
              </w:rPr>
              <w:t xml:space="preserve">C</w:t>
            </w:r>
          </w:p>
        </w:tc>
        <w:tc>
          <w:tcPr>
            <w:tcW w:type="dxa" w:w="812"/>
            <w:shd w:fill="F2F6FB" w:color="auto" w:val="clear"/>
            <w:tcMar>
              <w:top w:type="dxa" w:w="50"/>
              <w:left w:type="dxa" w:w="80"/>
              <w:bottom w:type="dxa" w:w="50"/>
              <w:right w:type="dxa" w:w="80"/>
            </w:tcMar>
          </w:tcPr>
          <w:p>
            <w:pPr>
              <w:spacing w:after="20" w:line="240"/>
              <w:jc w:val="center"/>
            </w:pPr>
            <w:r>
              <w:rPr>
                <w:sz w:val="16"/>
                <w:szCs w:val="16"/>
              </w:rPr>
              <w:t xml:space="preserve">—</w:t>
            </w:r>
          </w:p>
        </w:tc>
        <w:tc>
          <w:tcPr>
            <w:tcW w:type="dxa" w:w="812"/>
            <w:shd w:fill="F2F6FB" w:color="auto" w:val="clear"/>
            <w:tcMar>
              <w:top w:type="dxa" w:w="50"/>
              <w:left w:type="dxa" w:w="80"/>
              <w:bottom w:type="dxa" w:w="50"/>
              <w:right w:type="dxa" w:w="80"/>
            </w:tcMar>
          </w:tcPr>
          <w:p>
            <w:pPr>
              <w:spacing w:after="20" w:line="240"/>
              <w:jc w:val="center"/>
            </w:pPr>
            <w:r>
              <w:rPr>
                <w:sz w:val="16"/>
                <w:szCs w:val="16"/>
              </w:rPr>
              <w:t xml:space="preserve">C</w:t>
            </w:r>
          </w:p>
        </w:tc>
        <w:tc>
          <w:tcPr>
            <w:tcW w:type="dxa" w:w="857"/>
            <w:shd w:fill="F2F6FB" w:color="auto" w:val="clear"/>
            <w:tcMar>
              <w:top w:type="dxa" w:w="50"/>
              <w:left w:type="dxa" w:w="80"/>
              <w:bottom w:type="dxa" w:w="50"/>
              <w:right w:type="dxa" w:w="80"/>
            </w:tcMar>
          </w:tcPr>
          <w:p>
            <w:pPr>
              <w:spacing w:after="20" w:line="240"/>
              <w:jc w:val="center"/>
            </w:pPr>
            <w:r>
              <w:rPr>
                <w:sz w:val="16"/>
                <w:szCs w:val="16"/>
              </w:rPr>
              <w:t xml:space="preserve">R</w:t>
            </w:r>
          </w:p>
        </w:tc>
        <w:tc>
          <w:tcPr>
            <w:tcW w:type="dxa" w:w="857"/>
            <w:shd w:fill="F2F6FB" w:color="auto" w:val="clear"/>
            <w:tcMar>
              <w:top w:type="dxa" w:w="50"/>
              <w:left w:type="dxa" w:w="80"/>
              <w:bottom w:type="dxa" w:w="50"/>
              <w:right w:type="dxa" w:w="80"/>
            </w:tcMar>
          </w:tcPr>
          <w:p>
            <w:pPr>
              <w:spacing w:after="20" w:line="240"/>
              <w:jc w:val="center"/>
            </w:pPr>
            <w:r>
              <w:rPr>
                <w:sz w:val="16"/>
                <w:szCs w:val="16"/>
              </w:rPr>
              <w:t xml:space="preserve">A</w:t>
            </w:r>
          </w:p>
        </w:tc>
        <w:tc>
          <w:tcPr>
            <w:tcW w:type="dxa" w:w="857"/>
            <w:shd w:fill="F2F6FB" w:color="auto" w:val="clear"/>
            <w:tcMar>
              <w:top w:type="dxa" w:w="50"/>
              <w:left w:type="dxa" w:w="80"/>
              <w:bottom w:type="dxa" w:w="50"/>
              <w:right w:type="dxa" w:w="80"/>
            </w:tcMar>
          </w:tcPr>
          <w:p>
            <w:pPr>
              <w:spacing w:after="20" w:line="240"/>
              <w:jc w:val="center"/>
            </w:pPr>
            <w:r>
              <w:rPr>
                <w:sz w:val="16"/>
                <w:szCs w:val="16"/>
              </w:rPr>
              <w:t xml:space="preserve">I</w:t>
            </w:r>
          </w:p>
        </w:tc>
        <w:tc>
          <w:tcPr>
            <w:tcW w:type="dxa" w:w="767"/>
            <w:shd w:fill="F2F6FB" w:color="auto" w:val="clear"/>
            <w:tcMar>
              <w:top w:type="dxa" w:w="50"/>
              <w:left w:type="dxa" w:w="80"/>
              <w:bottom w:type="dxa" w:w="50"/>
              <w:right w:type="dxa" w:w="80"/>
            </w:tcMar>
          </w:tcPr>
          <w:p>
            <w:pPr>
              <w:spacing w:after="20" w:line="240"/>
              <w:jc w:val="center"/>
            </w:pPr>
            <w:r>
              <w:rPr>
                <w:sz w:val="16"/>
                <w:szCs w:val="16"/>
              </w:rPr>
              <w:t xml:space="preserve">I</w:t>
            </w:r>
          </w:p>
        </w:tc>
      </w:tr>
    </w:tbl>
    <w:p>
      <w:pPr>
        <w:spacing w:after="120"/>
      </w:pPr>
    </w:p>
    <w:p>
      <w:pPr>
        <w:spacing w:after="120" w:line="276"/>
      </w:pPr>
      <w:r>
        <w:t xml:space="preserve">Two deliberate accountability splits: the </w:t>
      </w:r>
      <w:r>
        <w:rPr>
          <w:b/>
          <w:bCs/>
        </w:rPr>
        <w:t xml:space="preserve">IC is accountable for the response</w:t>
      </w:r>
      <w:r>
        <w:t xml:space="preserve"> (speed, coordination, containment decisions), while the </w:t>
      </w:r>
      <w:r>
        <w:rPr>
          <w:b/>
          <w:bCs/>
        </w:rPr>
        <w:t xml:space="preserve">Model Owner is accountable for the fix</w:t>
      </w:r>
      <w:r>
        <w:t xml:space="preserve"> (RCA quality, remediation), and the </w:t>
      </w:r>
      <w:r>
        <w:rPr>
          <w:b/>
          <w:bCs/>
        </w:rPr>
        <w:t xml:space="preserve">AI Governance Lead is accountable for the learning</w:t>
      </w:r>
      <w:r>
        <w:t xml:space="preserve"> (PIR completion, risk-register integration). This prevents the common failure where the team that ships the fix also grades its own homework.</w:t>
      </w:r>
    </w:p>
    <w:p>
      <w:pPr>
        <w:pStyle w:val="Heading2"/>
        <w:spacing w:after="120" w:before="260"/>
      </w:pPr>
      <w:r>
        <w:t xml:space="preserve">3.3 Standing governance</w:t>
      </w:r>
    </w:p>
    <w:p>
      <w:pPr>
        <w:pStyle w:val="ListParagraph"/>
        <w:numPr>
          <w:ilvl w:val="0"/>
          <w:numId w:val="2"/>
        </w:numPr>
        <w:spacing w:after="80" w:line="276"/>
      </w:pPr>
      <w:r>
        <w:rPr>
          <w:b/>
          <w:bCs/>
        </w:rPr>
        <w:t xml:space="preserve">AI Incident Review Board</w:t>
      </w:r>
      <w:r>
        <w:t xml:space="preserve"> — AI Governance Lead (chair), Head of T&amp;S, Model Owners, Privacy, Legal. Meets monthly: reviews all incidents and near-misses, approves PIR action closure, tunes this playbook.</w:t>
      </w:r>
    </w:p>
    <w:p>
      <w:pPr>
        <w:pStyle w:val="ListParagraph"/>
        <w:numPr>
          <w:ilvl w:val="0"/>
          <w:numId w:val="2"/>
        </w:numPr>
        <w:spacing w:after="80" w:line="276"/>
      </w:pPr>
      <w:r>
        <w:rPr>
          <w:b/>
          <w:bCs/>
        </w:rPr>
        <w:t xml:space="preserve">On-call and readiness</w:t>
      </w:r>
      <w:r>
        <w:t xml:space="preserve"> — IC rotation staffed 24/7; every IC completes incident-command training and a tabletop exercise before joining rotation. One AI-specific tabletop per quarter (scenarios rotate through taxonomy categories §5.1).</w:t>
      </w:r>
    </w:p>
    <w:p>
      <w:pPr>
        <w:pStyle w:val="Heading2"/>
        <w:spacing w:after="120" w:before="260"/>
      </w:pPr>
      <w:r>
        <w:t xml:space="preserve">3.4 Declaration &amp; decision authority</w:t>
      </w:r>
    </w:p>
    <w:p>
      <w:pPr>
        <w:spacing w:after="120" w:line="276"/>
      </w:pPr>
      <w:r>
        <w:rPr>
          <w:b/>
          <w:bCs/>
        </w:rPr>
        <w:t xml:space="preserve">Anyone can raise; few can declare.</w:t>
      </w:r>
      <w:r>
        <w:t xml:space="preserve"> Raising an </w:t>
      </w:r>
      <w:r>
        <w:rPr>
          <w:i/>
          <w:iCs/>
        </w:rPr>
        <w:t xml:space="preserve">incident candidate</w:t>
      </w:r>
      <w:r>
        <w:t xml:space="preserve"> (an intake record, §6.1) is open to every employee, system, and external reporter — reporting is never gated. </w:t>
      </w:r>
      <w:r>
        <w:rPr>
          <w:i/>
          <w:iCs/>
        </w:rPr>
        <w:t xml:space="preserve">Declaring</w:t>
      </w:r>
      <w:r>
        <w:t xml:space="preserve"> an incident — assigning severity and activating the response machinery — is restricted, so that a mistaken candidate costs a triage review, not a war room: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971"/>
        <w:gridCol w:w="5055"/>
      </w:tblGrid>
      <w:tr>
        <w:trPr>
          <w:tblHeader/>
        </w:trPr>
        <w:tc>
          <w:tcPr>
            <w:tcW w:type="dxa" w:w="3971"/>
            <w:shd w:fill="1F3864" w:color="auto" w:val="clear"/>
            <w:tcMar>
              <w:top w:type="dxa" w:w="60"/>
              <w:left w:type="dxa" w:w="80"/>
              <w:bottom w:type="dxa" w:w="60"/>
              <w:right w:type="dxa" w:w="80"/>
            </w:tcMar>
            <w:vAlign w:val="center"/>
          </w:tcPr>
          <w:p>
            <w:pPr>
              <w:spacing w:after="20" w:line="240"/>
            </w:pPr>
            <w:r>
              <w:rPr>
                <w:b/>
                <w:bCs/>
                <w:color w:val="FFFFFF"/>
                <w:sz w:val="18"/>
                <w:szCs w:val="18"/>
              </w:rPr>
              <w:t xml:space="preserve">Action</w:t>
            </w:r>
          </w:p>
        </w:tc>
        <w:tc>
          <w:tcPr>
            <w:tcW w:type="dxa" w:w="5055"/>
            <w:shd w:fill="1F3864" w:color="auto" w:val="clear"/>
            <w:tcMar>
              <w:top w:type="dxa" w:w="60"/>
              <w:left w:type="dxa" w:w="80"/>
              <w:bottom w:type="dxa" w:w="60"/>
              <w:right w:type="dxa" w:w="80"/>
            </w:tcMar>
            <w:vAlign w:val="center"/>
          </w:tcPr>
          <w:p>
            <w:pPr>
              <w:spacing w:after="20" w:line="240"/>
            </w:pPr>
            <w:r>
              <w:rPr>
                <w:b/>
                <w:bCs/>
                <w:color w:val="FFFFFF"/>
                <w:sz w:val="18"/>
                <w:szCs w:val="18"/>
              </w:rPr>
              <w:t xml:space="preserve">Authorized</w:t>
            </w:r>
          </w:p>
        </w:tc>
      </w:tr>
      <w:tr>
        <w:tc>
          <w:tcPr>
            <w:tcW w:type="dxa" w:w="3971"/>
            <w:tcMar>
              <w:top w:type="dxa" w:w="50"/>
              <w:left w:type="dxa" w:w="80"/>
              <w:bottom w:type="dxa" w:w="50"/>
              <w:right w:type="dxa" w:w="80"/>
            </w:tcMar>
          </w:tcPr>
          <w:p>
            <w:pPr>
              <w:spacing w:after="20" w:line="240"/>
            </w:pPr>
            <w:r>
              <w:rPr>
                <w:sz w:val="18"/>
                <w:szCs w:val="18"/>
              </w:rPr>
              <w:t xml:space="preserve">Raise an incident candidate</w:t>
            </w:r>
          </w:p>
        </w:tc>
        <w:tc>
          <w:tcPr>
            <w:tcW w:type="dxa" w:w="5055"/>
            <w:tcMar>
              <w:top w:type="dxa" w:w="50"/>
              <w:left w:type="dxa" w:w="80"/>
              <w:bottom w:type="dxa" w:w="50"/>
              <w:right w:type="dxa" w:w="80"/>
            </w:tcMar>
          </w:tcPr>
          <w:p>
            <w:pPr>
              <w:spacing w:after="20" w:line="240"/>
            </w:pPr>
            <w:r>
              <w:rPr>
                <w:sz w:val="18"/>
                <w:szCs w:val="18"/>
              </w:rPr>
              <w:t xml:space="preserve">Anyone (employee, automated monitoring, external reporter)</w:t>
            </w:r>
          </w:p>
        </w:tc>
      </w:tr>
      <w:tr>
        <w:tc>
          <w:tcPr>
            <w:tcW w:type="dxa" w:w="3971"/>
            <w:shd w:fill="F2F6FB" w:color="auto" w:val="clear"/>
            <w:tcMar>
              <w:top w:type="dxa" w:w="50"/>
              <w:left w:type="dxa" w:w="80"/>
              <w:bottom w:type="dxa" w:w="50"/>
              <w:right w:type="dxa" w:w="80"/>
            </w:tcMar>
          </w:tcPr>
          <w:p>
            <w:pPr>
              <w:spacing w:after="20" w:line="240"/>
            </w:pPr>
            <w:r>
              <w:rPr>
                <w:sz w:val="18"/>
                <w:szCs w:val="18"/>
              </w:rPr>
              <w:t xml:space="preserve">Declare &amp; classify an incident</w:t>
            </w:r>
          </w:p>
        </w:tc>
        <w:tc>
          <w:tcPr>
            <w:tcW w:type="dxa" w:w="5055"/>
            <w:shd w:fill="F2F6FB" w:color="auto" w:val="clear"/>
            <w:tcMar>
              <w:top w:type="dxa" w:w="50"/>
              <w:left w:type="dxa" w:w="80"/>
              <w:bottom w:type="dxa" w:w="50"/>
              <w:right w:type="dxa" w:w="80"/>
            </w:tcMar>
          </w:tcPr>
          <w:p>
            <w:pPr>
              <w:spacing w:after="20" w:line="240"/>
            </w:pPr>
            <w:r>
              <w:rPr>
                <w:sz w:val="18"/>
                <w:szCs w:val="18"/>
              </w:rPr>
              <w:t xml:space="preserve">On-call IC; Head of T&amp;S; SecOps lead</w:t>
            </w:r>
          </w:p>
        </w:tc>
      </w:tr>
      <w:tr>
        <w:tc>
          <w:tcPr>
            <w:tcW w:type="dxa" w:w="3971"/>
            <w:tcMar>
              <w:top w:type="dxa" w:w="50"/>
              <w:left w:type="dxa" w:w="80"/>
              <w:bottom w:type="dxa" w:w="50"/>
              <w:right w:type="dxa" w:w="80"/>
            </w:tcMar>
          </w:tcPr>
          <w:p>
            <w:pPr>
              <w:spacing w:after="20" w:line="240"/>
            </w:pPr>
            <w:r>
              <w:rPr>
                <w:sz w:val="18"/>
                <w:szCs w:val="18"/>
              </w:rPr>
              <w:t xml:space="preserve">Containment rungs 1–3 (filters, capability disable, rate-limit)</w:t>
            </w:r>
          </w:p>
        </w:tc>
        <w:tc>
          <w:tcPr>
            <w:tcW w:type="dxa" w:w="5055"/>
            <w:tcMar>
              <w:top w:type="dxa" w:w="50"/>
              <w:left w:type="dxa" w:w="80"/>
              <w:bottom w:type="dxa" w:w="50"/>
              <w:right w:type="dxa" w:w="80"/>
            </w:tcMar>
          </w:tcPr>
          <w:p>
            <w:pPr>
              <w:spacing w:after="20" w:line="240"/>
            </w:pPr>
            <w:r>
              <w:rPr>
                <w:sz w:val="18"/>
                <w:szCs w:val="18"/>
              </w:rPr>
              <w:t xml:space="preserve">Model Owner </w:t>
            </w:r>
            <w:r>
              <w:rPr>
                <w:sz w:val="18"/>
                <w:szCs w:val="18"/>
              </w:rPr>
              <w:t xml:space="preserve">or</w:t>
            </w:r>
            <w:r>
              <w:rPr>
                <w:sz w:val="18"/>
                <w:szCs w:val="18"/>
              </w:rPr>
              <w:t xml:space="preserve"> IC</w:t>
            </w:r>
          </w:p>
        </w:tc>
      </w:tr>
      <w:tr>
        <w:tc>
          <w:tcPr>
            <w:tcW w:type="dxa" w:w="3971"/>
            <w:shd w:fill="F2F6FB" w:color="auto" w:val="clear"/>
            <w:tcMar>
              <w:top w:type="dxa" w:w="50"/>
              <w:left w:type="dxa" w:w="80"/>
              <w:bottom w:type="dxa" w:w="50"/>
              <w:right w:type="dxa" w:w="80"/>
            </w:tcMar>
          </w:tcPr>
          <w:p>
            <w:pPr>
              <w:spacing w:after="20" w:line="240"/>
            </w:pPr>
            <w:r>
              <w:rPr>
                <w:sz w:val="18"/>
                <w:szCs w:val="18"/>
              </w:rPr>
              <w:t xml:space="preserve">Containment rungs 4–5 (rollback, human-in-the-loop)</w:t>
            </w:r>
          </w:p>
        </w:tc>
        <w:tc>
          <w:tcPr>
            <w:tcW w:type="dxa" w:w="5055"/>
            <w:shd w:fill="F2F6FB" w:color="auto" w:val="clear"/>
            <w:tcMar>
              <w:top w:type="dxa" w:w="50"/>
              <w:left w:type="dxa" w:w="80"/>
              <w:bottom w:type="dxa" w:w="50"/>
              <w:right w:type="dxa" w:w="80"/>
            </w:tcMar>
          </w:tcPr>
          <w:p>
            <w:pPr>
              <w:spacing w:after="20" w:line="240"/>
            </w:pPr>
            <w:r>
              <w:rPr>
                <w:sz w:val="18"/>
                <w:szCs w:val="18"/>
              </w:rPr>
              <w:t xml:space="preserve">IC </w:t>
            </w:r>
            <w:r>
              <w:rPr>
                <w:sz w:val="18"/>
                <w:szCs w:val="18"/>
              </w:rPr>
              <w:t xml:space="preserve">and</w:t>
            </w:r>
            <w:r>
              <w:rPr>
                <w:sz w:val="18"/>
                <w:szCs w:val="18"/>
              </w:rPr>
              <w:t xml:space="preserve"> Model Owner jointly</w:t>
            </w:r>
          </w:p>
        </w:tc>
      </w:tr>
      <w:tr>
        <w:tc>
          <w:tcPr>
            <w:tcW w:type="dxa" w:w="3971"/>
            <w:tcMar>
              <w:top w:type="dxa" w:w="50"/>
              <w:left w:type="dxa" w:w="80"/>
              <w:bottom w:type="dxa" w:w="50"/>
              <w:right w:type="dxa" w:w="80"/>
            </w:tcMar>
          </w:tcPr>
          <w:p>
            <w:pPr>
              <w:spacing w:after="20" w:line="240"/>
            </w:pPr>
            <w:r>
              <w:rPr>
                <w:sz w:val="18"/>
                <w:szCs w:val="18"/>
              </w:rPr>
              <w:t xml:space="preserve">Containment rung 6 (kill switch)</w:t>
            </w:r>
          </w:p>
        </w:tc>
        <w:tc>
          <w:tcPr>
            <w:tcW w:type="dxa" w:w="5055"/>
            <w:tcMar>
              <w:top w:type="dxa" w:w="50"/>
              <w:left w:type="dxa" w:w="80"/>
              <w:bottom w:type="dxa" w:w="50"/>
              <w:right w:type="dxa" w:w="80"/>
            </w:tcMar>
          </w:tcPr>
          <w:p>
            <w:pPr>
              <w:spacing w:after="20" w:line="240"/>
            </w:pPr>
            <w:r>
              <w:rPr>
                <w:sz w:val="18"/>
                <w:szCs w:val="18"/>
              </w:rPr>
              <w:t xml:space="preserve">IC </w:t>
            </w:r>
            <w:r>
              <w:rPr>
                <w:sz w:val="18"/>
                <w:szCs w:val="18"/>
              </w:rPr>
              <w:t xml:space="preserve">and</w:t>
            </w:r>
            <w:r>
              <w:rPr>
                <w:sz w:val="18"/>
                <w:szCs w:val="18"/>
              </w:rPr>
              <w:t xml:space="preserve"> Model Owner jointly; Executive Sponsor informed immediately — activation must never wait on executive availability</w:t>
            </w:r>
          </w:p>
        </w:tc>
      </w:tr>
      <w:tr>
        <w:tc>
          <w:tcPr>
            <w:tcW w:type="dxa" w:w="3971"/>
            <w:shd w:fill="F2F6FB" w:color="auto" w:val="clear"/>
            <w:tcMar>
              <w:top w:type="dxa" w:w="50"/>
              <w:left w:type="dxa" w:w="80"/>
              <w:bottom w:type="dxa" w:w="50"/>
              <w:right w:type="dxa" w:w="80"/>
            </w:tcMar>
          </w:tcPr>
          <w:p>
            <w:pPr>
              <w:spacing w:after="20" w:line="240"/>
            </w:pPr>
            <w:r>
              <w:rPr>
                <w:sz w:val="18"/>
                <w:szCs w:val="18"/>
              </w:rPr>
              <w:t xml:space="preserve">Overrule a containment decision on business grounds</w:t>
            </w:r>
          </w:p>
        </w:tc>
        <w:tc>
          <w:tcPr>
            <w:tcW w:type="dxa" w:w="5055"/>
            <w:shd w:fill="F2F6FB" w:color="auto" w:val="clear"/>
            <w:tcMar>
              <w:top w:type="dxa" w:w="50"/>
              <w:left w:type="dxa" w:w="80"/>
              <w:bottom w:type="dxa" w:w="50"/>
              <w:right w:type="dxa" w:w="80"/>
            </w:tcMar>
          </w:tcPr>
          <w:p>
            <w:pPr>
              <w:spacing w:after="20" w:line="240"/>
            </w:pPr>
            <w:r>
              <w:rPr>
                <w:sz w:val="18"/>
                <w:szCs w:val="18"/>
              </w:rPr>
              <w:t xml:space="preserve">Executive Sponsor only, in writing, recorded in the incident timeline</w:t>
            </w:r>
          </w:p>
        </w:tc>
      </w:tr>
      <w:tr>
        <w:tc>
          <w:tcPr>
            <w:tcW w:type="dxa" w:w="3971"/>
            <w:tcMar>
              <w:top w:type="dxa" w:w="50"/>
              <w:left w:type="dxa" w:w="80"/>
              <w:bottom w:type="dxa" w:w="50"/>
              <w:right w:type="dxa" w:w="80"/>
            </w:tcMar>
          </w:tcPr>
          <w:p>
            <w:pPr>
              <w:spacing w:after="20" w:line="240"/>
            </w:pPr>
            <w:r>
              <w:rPr>
                <w:sz w:val="18"/>
                <w:szCs w:val="18"/>
              </w:rPr>
              <w:t xml:space="preserve">Close an incident</w:t>
            </w:r>
          </w:p>
        </w:tc>
        <w:tc>
          <w:tcPr>
            <w:tcW w:type="dxa" w:w="5055"/>
            <w:tcMar>
              <w:top w:type="dxa" w:w="50"/>
              <w:left w:type="dxa" w:w="80"/>
              <w:bottom w:type="dxa" w:w="50"/>
              <w:right w:type="dxa" w:w="80"/>
            </w:tcMar>
          </w:tcPr>
          <w:p>
            <w:pPr>
              <w:spacing w:after="20" w:line="240"/>
            </w:pPr>
            <w:r>
              <w:rPr>
                <w:sz w:val="18"/>
                <w:szCs w:val="18"/>
              </w:rPr>
              <w:t xml:space="preserve">IC with Model Owner confirmation; SEV-1/2 require AI Governance Lead co-sign (§6.6)</w:t>
            </w:r>
          </w:p>
        </w:tc>
      </w:tr>
      <w:tr>
        <w:tc>
          <w:tcPr>
            <w:tcW w:type="dxa" w:w="3971"/>
            <w:shd w:fill="F2F6FB" w:color="auto" w:val="clear"/>
            <w:tcMar>
              <w:top w:type="dxa" w:w="50"/>
              <w:left w:type="dxa" w:w="80"/>
              <w:bottom w:type="dxa" w:w="50"/>
              <w:right w:type="dxa" w:w="80"/>
            </w:tcMar>
          </w:tcPr>
          <w:p>
            <w:pPr>
              <w:spacing w:after="20" w:line="240"/>
            </w:pPr>
            <w:r>
              <w:rPr>
                <w:sz w:val="18"/>
                <w:szCs w:val="18"/>
              </w:rPr>
              <w:t xml:space="preserve">Reopen an incident</w:t>
            </w:r>
          </w:p>
        </w:tc>
        <w:tc>
          <w:tcPr>
            <w:tcW w:type="dxa" w:w="5055"/>
            <w:shd w:fill="F2F6FB" w:color="auto" w:val="clear"/>
            <w:tcMar>
              <w:top w:type="dxa" w:w="50"/>
              <w:left w:type="dxa" w:w="80"/>
              <w:bottom w:type="dxa" w:w="50"/>
              <w:right w:type="dxa" w:w="80"/>
            </w:tcMar>
          </w:tcPr>
          <w:p>
            <w:pPr>
              <w:spacing w:after="20" w:line="240"/>
            </w:pPr>
            <w:r>
              <w:rPr>
                <w:sz w:val="18"/>
                <w:szCs w:val="18"/>
              </w:rPr>
              <w:t xml:space="preserve">Same authority as declaration (§6.6)</w:t>
            </w:r>
          </w:p>
        </w:tc>
      </w:tr>
    </w:tbl>
    <w:p>
      <w:pPr>
        <w:spacing w:after="120"/>
      </w:pPr>
    </w:p>
    <w:p>
      <w:pPr>
        <w:spacing w:after="120" w:line="276"/>
      </w:pPr>
      <w:r>
        <w:t xml:space="preserve">The kill-switch rule encodes the design intent explicitly: </w:t>
      </w:r>
      <w:r>
        <w:rPr>
          <w:b/>
          <w:bCs/>
        </w:rPr>
        <w:t xml:space="preserve">the authority to stop harm is pre-delegated downward; only the authority to accept continued risk escalates upward.</w:t>
      </w:r>
    </w:p>
    <w:p>
      <w:pPr>
        <w:pStyle w:val="Heading1"/>
        <w:spacing w:after="160" w:before="340"/>
      </w:pPr>
      <w:r>
        <w:t xml:space="preserve">4. Design of the Classification System</w:t>
      </w:r>
    </w:p>
    <w:p>
      <w:pPr>
        <w:spacing w:after="120" w:line="276"/>
      </w:pPr>
      <w:r>
        <w:t xml:space="preserve">Every incident is classified on </w:t>
      </w:r>
      <w:r>
        <w:rPr>
          <w:b/>
          <w:bCs/>
        </w:rPr>
        <w:t xml:space="preserve">two independent axes</w:t>
      </w:r>
      <w:r>
        <w:t xml:space="preserve">:</w:t>
      </w:r>
    </w:p>
    <w:p>
      <w:pPr>
        <w:pStyle w:val="ListParagraph"/>
        <w:numPr>
          <w:ilvl w:val="0"/>
          <w:numId w:val="2"/>
        </w:numPr>
        <w:spacing w:after="80" w:line="276"/>
      </w:pPr>
      <w:r>
        <w:rPr>
          <w:b/>
          <w:bCs/>
        </w:rPr>
        <w:t xml:space="preserve">Category (C1–C7)</w:t>
      </w:r>
      <w:r>
        <w:t xml:space="preserve"> — </w:t>
      </w:r>
      <w:r>
        <w:rPr>
          <w:i/>
          <w:iCs/>
        </w:rPr>
        <w:t xml:space="preserve">what kind of incident</w:t>
      </w:r>
      <w:r>
        <w:t xml:space="preserve"> → selects the containment playbook and the specialist roles pulled in.</w:t>
      </w:r>
    </w:p>
    <w:p>
      <w:pPr>
        <w:pStyle w:val="ListParagraph"/>
        <w:numPr>
          <w:ilvl w:val="0"/>
          <w:numId w:val="2"/>
        </w:numPr>
        <w:spacing w:after="80" w:line="276"/>
      </w:pPr>
      <w:r>
        <w:rPr>
          <w:b/>
          <w:bCs/>
        </w:rPr>
        <w:t xml:space="preserve">Severity (SEV-1–SEV-4)</w:t>
      </w:r>
      <w:r>
        <w:t xml:space="preserve"> — </w:t>
      </w:r>
      <w:r>
        <w:rPr>
          <w:i/>
          <w:iCs/>
        </w:rPr>
        <w:t xml:space="preserve">how bad</w:t>
      </w:r>
      <w:r>
        <w:t xml:space="preserve"> → selects response speed, escalation depth, and communication obligations.</w:t>
      </w:r>
    </w:p>
    <w:p>
      <w:pPr>
        <w:spacing w:after="120" w:line="276"/>
      </w:pPr>
      <w:r>
        <w:t xml:space="preserve">The axes are orthogonal by design. A prompt-injection proof-of-concept with no user impact is C4/SEV-4; a fraud-model outage silently approving transactions is C2/SEV-1. Conflating type with severity — a common flaw in AI incident taxonomies — either over-escalates trivia or under-escalates quiet catastrophes.</w:t>
      </w:r>
    </w:p>
    <w:p>
      <w:pPr>
        <w:pStyle w:val="Heading1"/>
        <w:spacing w:after="160" w:before="340"/>
      </w:pPr>
      <w:r>
        <w:t xml:space="preserve">5. AI Incident Taxonomy &amp; Severity Classification</w:t>
      </w:r>
    </w:p>
    <w:p>
      <w:pPr>
        <w:pStyle w:val="Heading2"/>
        <w:spacing w:after="120" w:before="260"/>
      </w:pPr>
      <w:r>
        <w:t xml:space="preserve">5.1 Incident categories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32"/>
        <w:gridCol w:w="1715"/>
        <w:gridCol w:w="2708"/>
        <w:gridCol w:w="3971"/>
      </w:tblGrid>
      <w:tr>
        <w:trPr>
          <w:tblHeader/>
        </w:trPr>
        <w:tc>
          <w:tcPr>
            <w:tcW w:type="dxa" w:w="632"/>
            <w:shd w:fill="1F3864" w:color="auto" w:val="clear"/>
            <w:tcMar>
              <w:top w:type="dxa" w:w="60"/>
              <w:left w:type="dxa" w:w="80"/>
              <w:bottom w:type="dxa" w:w="60"/>
              <w:right w:type="dxa" w:w="80"/>
            </w:tcMar>
            <w:vAlign w:val="center"/>
          </w:tcPr>
          <w:p>
            <w:pPr>
              <w:spacing w:after="20" w:line="240"/>
            </w:pPr>
            <w:r>
              <w:rPr>
                <w:b/>
                <w:bCs/>
                <w:color w:val="FFFFFF"/>
                <w:sz w:val="18"/>
                <w:szCs w:val="18"/>
              </w:rPr>
              <w:t xml:space="preserve">Code</w:t>
            </w:r>
          </w:p>
        </w:tc>
        <w:tc>
          <w:tcPr>
            <w:tcW w:type="dxa" w:w="1715"/>
            <w:shd w:fill="1F3864" w:color="auto" w:val="clear"/>
            <w:tcMar>
              <w:top w:type="dxa" w:w="60"/>
              <w:left w:type="dxa" w:w="80"/>
              <w:bottom w:type="dxa" w:w="60"/>
              <w:right w:type="dxa" w:w="80"/>
            </w:tcMar>
            <w:vAlign w:val="center"/>
          </w:tcPr>
          <w:p>
            <w:pPr>
              <w:spacing w:after="20" w:line="240"/>
            </w:pPr>
            <w:r>
              <w:rPr>
                <w:b/>
                <w:bCs/>
                <w:color w:val="FFFFFF"/>
                <w:sz w:val="18"/>
                <w:szCs w:val="18"/>
              </w:rPr>
              <w:t xml:space="preserve">Category</w:t>
            </w:r>
          </w:p>
        </w:tc>
        <w:tc>
          <w:tcPr>
            <w:tcW w:type="dxa" w:w="2708"/>
            <w:shd w:fill="1F3864" w:color="auto" w:val="clear"/>
            <w:tcMar>
              <w:top w:type="dxa" w:w="60"/>
              <w:left w:type="dxa" w:w="80"/>
              <w:bottom w:type="dxa" w:w="60"/>
              <w:right w:type="dxa" w:w="80"/>
            </w:tcMar>
            <w:vAlign w:val="center"/>
          </w:tcPr>
          <w:p>
            <w:pPr>
              <w:spacing w:after="20" w:line="240"/>
            </w:pPr>
            <w:r>
              <w:rPr>
                <w:b/>
                <w:bCs/>
                <w:color w:val="FFFFFF"/>
                <w:sz w:val="18"/>
                <w:szCs w:val="18"/>
              </w:rPr>
              <w:t xml:space="preserve">Definition</w:t>
            </w:r>
          </w:p>
        </w:tc>
        <w:tc>
          <w:tcPr>
            <w:tcW w:type="dxa" w:w="3971"/>
            <w:shd w:fill="1F3864" w:color="auto" w:val="clear"/>
            <w:tcMar>
              <w:top w:type="dxa" w:w="60"/>
              <w:left w:type="dxa" w:w="80"/>
              <w:bottom w:type="dxa" w:w="60"/>
              <w:right w:type="dxa" w:w="80"/>
            </w:tcMar>
            <w:vAlign w:val="center"/>
          </w:tcPr>
          <w:p>
            <w:pPr>
              <w:spacing w:after="20" w:line="240"/>
            </w:pPr>
            <w:r>
              <w:rPr>
                <w:b/>
                <w:bCs/>
                <w:color w:val="FFFFFF"/>
                <w:sz w:val="18"/>
                <w:szCs w:val="18"/>
              </w:rPr>
              <w:t xml:space="preserve">Meridian examples</w:t>
            </w:r>
          </w:p>
        </w:tc>
      </w:tr>
      <w:tr>
        <w:tc>
          <w:tcPr>
            <w:tcW w:type="dxa" w:w="632"/>
            <w:tcMar>
              <w:top w:type="dxa" w:w="50"/>
              <w:left w:type="dxa" w:w="80"/>
              <w:bottom w:type="dxa" w:w="50"/>
              <w:right w:type="dxa" w:w="80"/>
            </w:tcMar>
          </w:tcPr>
          <w:p>
            <w:pPr>
              <w:spacing w:after="20" w:line="240"/>
            </w:pPr>
            <w:r>
              <w:rPr>
                <w:sz w:val="18"/>
                <w:szCs w:val="18"/>
              </w:rPr>
              <w:t xml:space="preserve">C1</w:t>
            </w:r>
          </w:p>
        </w:tc>
        <w:tc>
          <w:tcPr>
            <w:tcW w:type="dxa" w:w="1715"/>
            <w:tcMar>
              <w:top w:type="dxa" w:w="50"/>
              <w:left w:type="dxa" w:w="80"/>
              <w:bottom w:type="dxa" w:w="50"/>
              <w:right w:type="dxa" w:w="80"/>
            </w:tcMar>
          </w:tcPr>
          <w:p>
            <w:pPr>
              <w:spacing w:after="20" w:line="240"/>
            </w:pPr>
            <w:r>
              <w:rPr>
                <w:sz w:val="18"/>
                <w:szCs w:val="18"/>
              </w:rPr>
              <w:t xml:space="preserve">Harmful or policy-violating output</w:t>
            </w:r>
          </w:p>
        </w:tc>
        <w:tc>
          <w:tcPr>
            <w:tcW w:type="dxa" w:w="2708"/>
            <w:tcMar>
              <w:top w:type="dxa" w:w="50"/>
              <w:left w:type="dxa" w:w="80"/>
              <w:bottom w:type="dxa" w:w="50"/>
              <w:right w:type="dxa" w:w="80"/>
            </w:tcMar>
          </w:tcPr>
          <w:p>
            <w:pPr>
              <w:spacing w:after="20" w:line="240"/>
            </w:pPr>
            <w:r>
              <w:rPr>
                <w:sz w:val="18"/>
                <w:szCs w:val="18"/>
              </w:rPr>
              <w:t xml:space="preserve">AI output that violates content policy or facilitates harm reaching users</w:t>
            </w:r>
          </w:p>
        </w:tc>
        <w:tc>
          <w:tcPr>
            <w:tcW w:type="dxa" w:w="3971"/>
            <w:tcMar>
              <w:top w:type="dxa" w:w="50"/>
              <w:left w:type="dxa" w:w="80"/>
              <w:bottom w:type="dxa" w:w="50"/>
              <w:right w:type="dxa" w:w="80"/>
            </w:tcMar>
          </w:tcPr>
          <w:p>
            <w:pPr>
              <w:spacing w:after="20" w:line="240"/>
            </w:pPr>
            <w:r>
              <w:rPr>
                <w:sz w:val="18"/>
                <w:szCs w:val="18"/>
              </w:rPr>
              <w:t xml:space="preserve">ARIA provides seed-phrase “recovery” instructions that enable self-custody theft; ARIA generates advice facilitating self-harm</w:t>
            </w:r>
          </w:p>
        </w:tc>
      </w:tr>
      <w:tr>
        <w:tc>
          <w:tcPr>
            <w:tcW w:type="dxa" w:w="632"/>
            <w:shd w:fill="F2F6FB" w:color="auto" w:val="clear"/>
            <w:tcMar>
              <w:top w:type="dxa" w:w="50"/>
              <w:left w:type="dxa" w:w="80"/>
              <w:bottom w:type="dxa" w:w="50"/>
              <w:right w:type="dxa" w:w="80"/>
            </w:tcMar>
          </w:tcPr>
          <w:p>
            <w:pPr>
              <w:spacing w:after="20" w:line="240"/>
            </w:pPr>
            <w:r>
              <w:rPr>
                <w:sz w:val="18"/>
                <w:szCs w:val="18"/>
              </w:rPr>
              <w:t xml:space="preserve">C2</w:t>
            </w:r>
          </w:p>
        </w:tc>
        <w:tc>
          <w:tcPr>
            <w:tcW w:type="dxa" w:w="1715"/>
            <w:shd w:fill="F2F6FB" w:color="auto" w:val="clear"/>
            <w:tcMar>
              <w:top w:type="dxa" w:w="50"/>
              <w:left w:type="dxa" w:w="80"/>
              <w:bottom w:type="dxa" w:w="50"/>
              <w:right w:type="dxa" w:w="80"/>
            </w:tcMar>
          </w:tcPr>
          <w:p>
            <w:pPr>
              <w:spacing w:after="20" w:line="240"/>
            </w:pPr>
            <w:r>
              <w:rPr>
                <w:sz w:val="18"/>
                <w:szCs w:val="18"/>
              </w:rPr>
              <w:t xml:space="preserve">Model performance failure</w:t>
            </w:r>
          </w:p>
        </w:tc>
        <w:tc>
          <w:tcPr>
            <w:tcW w:type="dxa" w:w="2708"/>
            <w:shd w:fill="F2F6FB" w:color="auto" w:val="clear"/>
            <w:tcMar>
              <w:top w:type="dxa" w:w="50"/>
              <w:left w:type="dxa" w:w="80"/>
              <w:bottom w:type="dxa" w:w="50"/>
              <w:right w:type="dxa" w:w="80"/>
            </w:tcMar>
          </w:tcPr>
          <w:p>
            <w:pPr>
              <w:spacing w:after="20" w:line="240"/>
            </w:pPr>
            <w:r>
              <w:rPr>
                <w:sz w:val="18"/>
                <w:szCs w:val="18"/>
              </w:rPr>
              <w:t xml:space="preserve">Material degradation in accuracy, reliability, or availability</w:t>
            </w:r>
          </w:p>
        </w:tc>
        <w:tc>
          <w:tcPr>
            <w:tcW w:type="dxa" w:w="3971"/>
            <w:shd w:fill="F2F6FB" w:color="auto" w:val="clear"/>
            <w:tcMar>
              <w:top w:type="dxa" w:w="50"/>
              <w:left w:type="dxa" w:w="80"/>
              <w:bottom w:type="dxa" w:w="50"/>
              <w:right w:type="dxa" w:w="80"/>
            </w:tcMar>
          </w:tcPr>
          <w:p>
            <w:pPr>
              <w:spacing w:after="20" w:line="240"/>
            </w:pPr>
            <w:r>
              <w:rPr>
                <w:sz w:val="18"/>
                <w:szCs w:val="18"/>
              </w:rPr>
              <w:t xml:space="preserve">FALCON false-positive spike freezes 3,000 legitimate accounts; FALCON silently degrades and misses fraud patterns; ARIA hallucination rate spikes after a vendor model update</w:t>
            </w:r>
          </w:p>
        </w:tc>
      </w:tr>
      <w:tr>
        <w:tc>
          <w:tcPr>
            <w:tcW w:type="dxa" w:w="632"/>
            <w:tcMar>
              <w:top w:type="dxa" w:w="50"/>
              <w:left w:type="dxa" w:w="80"/>
              <w:bottom w:type="dxa" w:w="50"/>
              <w:right w:type="dxa" w:w="80"/>
            </w:tcMar>
          </w:tcPr>
          <w:p>
            <w:pPr>
              <w:spacing w:after="20" w:line="240"/>
            </w:pPr>
            <w:r>
              <w:rPr>
                <w:sz w:val="18"/>
                <w:szCs w:val="18"/>
              </w:rPr>
              <w:t xml:space="preserve">C3</w:t>
            </w:r>
          </w:p>
        </w:tc>
        <w:tc>
          <w:tcPr>
            <w:tcW w:type="dxa" w:w="1715"/>
            <w:tcMar>
              <w:top w:type="dxa" w:w="50"/>
              <w:left w:type="dxa" w:w="80"/>
              <w:bottom w:type="dxa" w:w="50"/>
              <w:right w:type="dxa" w:w="80"/>
            </w:tcMar>
          </w:tcPr>
          <w:p>
            <w:pPr>
              <w:spacing w:after="20" w:line="240"/>
            </w:pPr>
            <w:r>
              <w:rPr>
                <w:sz w:val="18"/>
                <w:szCs w:val="18"/>
              </w:rPr>
              <w:t xml:space="preserve">Data &amp; privacy</w:t>
            </w:r>
          </w:p>
        </w:tc>
        <w:tc>
          <w:tcPr>
            <w:tcW w:type="dxa" w:w="2708"/>
            <w:tcMar>
              <w:top w:type="dxa" w:w="50"/>
              <w:left w:type="dxa" w:w="80"/>
              <w:bottom w:type="dxa" w:w="50"/>
              <w:right w:type="dxa" w:w="80"/>
            </w:tcMar>
          </w:tcPr>
          <w:p>
            <w:pPr>
              <w:spacing w:after="20" w:line="240"/>
            </w:pPr>
            <w:r>
              <w:rPr>
                <w:sz w:val="18"/>
                <w:szCs w:val="18"/>
              </w:rPr>
              <w:t xml:space="preserve">AI system exposes, leaks, or misuses personal or confidential data</w:t>
            </w:r>
          </w:p>
        </w:tc>
        <w:tc>
          <w:tcPr>
            <w:tcW w:type="dxa" w:w="3971"/>
            <w:tcMar>
              <w:top w:type="dxa" w:w="50"/>
              <w:left w:type="dxa" w:w="80"/>
              <w:bottom w:type="dxa" w:w="50"/>
              <w:right w:type="dxa" w:w="80"/>
            </w:tcMar>
          </w:tcPr>
          <w:p>
            <w:pPr>
              <w:spacing w:after="20" w:line="240"/>
            </w:pPr>
            <w:r>
              <w:rPr>
                <w:sz w:val="18"/>
                <w:szCs w:val="18"/>
              </w:rPr>
              <w:t xml:space="preserve">ARIA reveals another customer's balance via retrieval bug; training data with PII found memorized and extractable</w:t>
            </w:r>
          </w:p>
        </w:tc>
      </w:tr>
      <w:tr>
        <w:tc>
          <w:tcPr>
            <w:tcW w:type="dxa" w:w="632"/>
            <w:shd w:fill="F2F6FB" w:color="auto" w:val="clear"/>
            <w:tcMar>
              <w:top w:type="dxa" w:w="50"/>
              <w:left w:type="dxa" w:w="80"/>
              <w:bottom w:type="dxa" w:w="50"/>
              <w:right w:type="dxa" w:w="80"/>
            </w:tcMar>
          </w:tcPr>
          <w:p>
            <w:pPr>
              <w:spacing w:after="20" w:line="240"/>
            </w:pPr>
            <w:r>
              <w:rPr>
                <w:sz w:val="18"/>
                <w:szCs w:val="18"/>
              </w:rPr>
              <w:t xml:space="preserve">C4</w:t>
            </w:r>
          </w:p>
        </w:tc>
        <w:tc>
          <w:tcPr>
            <w:tcW w:type="dxa" w:w="1715"/>
            <w:shd w:fill="F2F6FB" w:color="auto" w:val="clear"/>
            <w:tcMar>
              <w:top w:type="dxa" w:w="50"/>
              <w:left w:type="dxa" w:w="80"/>
              <w:bottom w:type="dxa" w:w="50"/>
              <w:right w:type="dxa" w:w="80"/>
            </w:tcMar>
          </w:tcPr>
          <w:p>
            <w:pPr>
              <w:spacing w:after="20" w:line="240"/>
            </w:pPr>
            <w:r>
              <w:rPr>
                <w:sz w:val="18"/>
                <w:szCs w:val="18"/>
              </w:rPr>
              <w:t xml:space="preserve">Security compromise</w:t>
            </w:r>
          </w:p>
        </w:tc>
        <w:tc>
          <w:tcPr>
            <w:tcW w:type="dxa" w:w="2708"/>
            <w:shd w:fill="F2F6FB" w:color="auto" w:val="clear"/>
            <w:tcMar>
              <w:top w:type="dxa" w:w="50"/>
              <w:left w:type="dxa" w:w="80"/>
              <w:bottom w:type="dxa" w:w="50"/>
              <w:right w:type="dxa" w:w="80"/>
            </w:tcMar>
          </w:tcPr>
          <w:p>
            <w:pPr>
              <w:spacing w:after="20" w:line="240"/>
            </w:pPr>
            <w:r>
              <w:rPr>
                <w:sz w:val="18"/>
                <w:szCs w:val="18"/>
              </w:rPr>
              <w:t xml:space="preserve">Adversarial attack on the AI system or its pipeline with actual or credible impact</w:t>
            </w:r>
          </w:p>
        </w:tc>
        <w:tc>
          <w:tcPr>
            <w:tcW w:type="dxa" w:w="3971"/>
            <w:shd w:fill="F2F6FB" w:color="auto" w:val="clear"/>
            <w:tcMar>
              <w:top w:type="dxa" w:w="50"/>
              <w:left w:type="dxa" w:w="80"/>
              <w:bottom w:type="dxa" w:w="50"/>
              <w:right w:type="dxa" w:w="80"/>
            </w:tcMar>
          </w:tcPr>
          <w:p>
            <w:pPr>
              <w:spacing w:after="20" w:line="240"/>
            </w:pPr>
            <w:r>
              <w:rPr>
                <w:sz w:val="18"/>
                <w:szCs w:val="18"/>
              </w:rPr>
              <w:t xml:space="preserve">Prompt injection exfiltrates data through ARIA's tool access; data poisoning of FALCON's training pipeline; model weights or system prompts exfiltrated</w:t>
            </w:r>
          </w:p>
        </w:tc>
      </w:tr>
      <w:tr>
        <w:tc>
          <w:tcPr>
            <w:tcW w:type="dxa" w:w="632"/>
            <w:tcMar>
              <w:top w:type="dxa" w:w="50"/>
              <w:left w:type="dxa" w:w="80"/>
              <w:bottom w:type="dxa" w:w="50"/>
              <w:right w:type="dxa" w:w="80"/>
            </w:tcMar>
          </w:tcPr>
          <w:p>
            <w:pPr>
              <w:spacing w:after="20" w:line="240"/>
            </w:pPr>
            <w:r>
              <w:rPr>
                <w:sz w:val="18"/>
                <w:szCs w:val="18"/>
              </w:rPr>
              <w:t xml:space="preserve">C5</w:t>
            </w:r>
          </w:p>
        </w:tc>
        <w:tc>
          <w:tcPr>
            <w:tcW w:type="dxa" w:w="1715"/>
            <w:tcMar>
              <w:top w:type="dxa" w:w="50"/>
              <w:left w:type="dxa" w:w="80"/>
              <w:bottom w:type="dxa" w:w="50"/>
              <w:right w:type="dxa" w:w="80"/>
            </w:tcMar>
          </w:tcPr>
          <w:p>
            <w:pPr>
              <w:spacing w:after="20" w:line="240"/>
            </w:pPr>
            <w:r>
              <w:rPr>
                <w:sz w:val="18"/>
                <w:szCs w:val="18"/>
              </w:rPr>
              <w:t xml:space="preserve">Bias &amp; fairness</w:t>
            </w:r>
          </w:p>
        </w:tc>
        <w:tc>
          <w:tcPr>
            <w:tcW w:type="dxa" w:w="2708"/>
            <w:tcMar>
              <w:top w:type="dxa" w:w="50"/>
              <w:left w:type="dxa" w:w="80"/>
              <w:bottom w:type="dxa" w:w="50"/>
              <w:right w:type="dxa" w:w="80"/>
            </w:tcMar>
          </w:tcPr>
          <w:p>
            <w:pPr>
              <w:spacing w:after="20" w:line="240"/>
            </w:pPr>
            <w:r>
              <w:rPr>
                <w:sz w:val="18"/>
                <w:szCs w:val="18"/>
              </w:rPr>
              <w:t xml:space="preserve">Discriminatory or systematically inequitable outcomes across user groups</w:t>
            </w:r>
          </w:p>
        </w:tc>
        <w:tc>
          <w:tcPr>
            <w:tcW w:type="dxa" w:w="3971"/>
            <w:tcMar>
              <w:top w:type="dxa" w:w="50"/>
              <w:left w:type="dxa" w:w="80"/>
              <w:bottom w:type="dxa" w:w="50"/>
              <w:right w:type="dxa" w:w="80"/>
            </w:tcMar>
          </w:tcPr>
          <w:p>
            <w:pPr>
              <w:spacing w:after="20" w:line="240"/>
            </w:pPr>
            <w:r>
              <w:rPr>
                <w:sz w:val="18"/>
                <w:szCs w:val="18"/>
              </w:rPr>
              <w:t xml:space="preserve">KYC-Vision rejection rates materially higher for documents from specific regions; FALCON freeze rates show unexplained disparity across demographic proxies</w:t>
            </w:r>
          </w:p>
        </w:tc>
      </w:tr>
      <w:tr>
        <w:tc>
          <w:tcPr>
            <w:tcW w:type="dxa" w:w="632"/>
            <w:shd w:fill="F2F6FB" w:color="auto" w:val="clear"/>
            <w:tcMar>
              <w:top w:type="dxa" w:w="50"/>
              <w:left w:type="dxa" w:w="80"/>
              <w:bottom w:type="dxa" w:w="50"/>
              <w:right w:type="dxa" w:w="80"/>
            </w:tcMar>
          </w:tcPr>
          <w:p>
            <w:pPr>
              <w:spacing w:after="20" w:line="240"/>
            </w:pPr>
            <w:r>
              <w:rPr>
                <w:sz w:val="18"/>
                <w:szCs w:val="18"/>
              </w:rPr>
              <w:t xml:space="preserve">C6</w:t>
            </w:r>
          </w:p>
        </w:tc>
        <w:tc>
          <w:tcPr>
            <w:tcW w:type="dxa" w:w="1715"/>
            <w:shd w:fill="F2F6FB" w:color="auto" w:val="clear"/>
            <w:tcMar>
              <w:top w:type="dxa" w:w="50"/>
              <w:left w:type="dxa" w:w="80"/>
              <w:bottom w:type="dxa" w:w="50"/>
              <w:right w:type="dxa" w:w="80"/>
            </w:tcMar>
          </w:tcPr>
          <w:p>
            <w:pPr>
              <w:spacing w:after="20" w:line="240"/>
            </w:pPr>
            <w:r>
              <w:rPr>
                <w:sz w:val="18"/>
                <w:szCs w:val="18"/>
              </w:rPr>
              <w:t xml:space="preserve">Misuse &amp; abuse</w:t>
            </w:r>
          </w:p>
        </w:tc>
        <w:tc>
          <w:tcPr>
            <w:tcW w:type="dxa" w:w="2708"/>
            <w:shd w:fill="F2F6FB" w:color="auto" w:val="clear"/>
            <w:tcMar>
              <w:top w:type="dxa" w:w="50"/>
              <w:left w:type="dxa" w:w="80"/>
              <w:bottom w:type="dxa" w:w="50"/>
              <w:right w:type="dxa" w:w="80"/>
            </w:tcMar>
          </w:tcPr>
          <w:p>
            <w:pPr>
              <w:spacing w:after="20" w:line="240"/>
            </w:pPr>
            <w:r>
              <w:rPr>
                <w:sz w:val="18"/>
                <w:szCs w:val="18"/>
              </w:rPr>
              <w:t xml:space="preserve">External actors weaponizing the AI system against others</w:t>
            </w:r>
          </w:p>
        </w:tc>
        <w:tc>
          <w:tcPr>
            <w:tcW w:type="dxa" w:w="3971"/>
            <w:shd w:fill="F2F6FB" w:color="auto" w:val="clear"/>
            <w:tcMar>
              <w:top w:type="dxa" w:w="50"/>
              <w:left w:type="dxa" w:w="80"/>
              <w:bottom w:type="dxa" w:w="50"/>
              <w:right w:type="dxa" w:w="80"/>
            </w:tcMar>
          </w:tcPr>
          <w:p>
            <w:pPr>
              <w:spacing w:after="20" w:line="240"/>
            </w:pPr>
            <w:r>
              <w:rPr>
                <w:sz w:val="18"/>
                <w:szCs w:val="18"/>
              </w:rPr>
              <w:t xml:space="preserve">Fraud rings using ARIA to social-engineer refunds at scale; coordinated probing to reverse-engineer FALCON thresholds for structuring</w:t>
            </w:r>
          </w:p>
        </w:tc>
      </w:tr>
      <w:tr>
        <w:tc>
          <w:tcPr>
            <w:tcW w:type="dxa" w:w="632"/>
            <w:tcMar>
              <w:top w:type="dxa" w:w="50"/>
              <w:left w:type="dxa" w:w="80"/>
              <w:bottom w:type="dxa" w:w="50"/>
              <w:right w:type="dxa" w:w="80"/>
            </w:tcMar>
          </w:tcPr>
          <w:p>
            <w:pPr>
              <w:spacing w:after="20" w:line="240"/>
            </w:pPr>
            <w:r>
              <w:rPr>
                <w:sz w:val="18"/>
                <w:szCs w:val="18"/>
              </w:rPr>
              <w:t xml:space="preserve">C7</w:t>
            </w:r>
          </w:p>
        </w:tc>
        <w:tc>
          <w:tcPr>
            <w:tcW w:type="dxa" w:w="1715"/>
            <w:tcMar>
              <w:top w:type="dxa" w:w="50"/>
              <w:left w:type="dxa" w:w="80"/>
              <w:bottom w:type="dxa" w:w="50"/>
              <w:right w:type="dxa" w:w="80"/>
            </w:tcMar>
          </w:tcPr>
          <w:p>
            <w:pPr>
              <w:spacing w:after="20" w:line="240"/>
            </w:pPr>
            <w:r>
              <w:rPr>
                <w:sz w:val="18"/>
                <w:szCs w:val="18"/>
              </w:rPr>
              <w:t xml:space="preserve">Third-party / supply chain</w:t>
            </w:r>
          </w:p>
        </w:tc>
        <w:tc>
          <w:tcPr>
            <w:tcW w:type="dxa" w:w="2708"/>
            <w:tcMar>
              <w:top w:type="dxa" w:w="50"/>
              <w:left w:type="dxa" w:w="80"/>
              <w:bottom w:type="dxa" w:w="50"/>
              <w:right w:type="dxa" w:w="80"/>
            </w:tcMar>
          </w:tcPr>
          <w:p>
            <w:pPr>
              <w:spacing w:after="20" w:line="240"/>
            </w:pPr>
            <w:r>
              <w:rPr>
                <w:sz w:val="18"/>
                <w:szCs w:val="18"/>
              </w:rPr>
              <w:t xml:space="preserve">Incident originating in an upstream AI vendor or dependency</w:t>
            </w:r>
          </w:p>
        </w:tc>
        <w:tc>
          <w:tcPr>
            <w:tcW w:type="dxa" w:w="3971"/>
            <w:tcMar>
              <w:top w:type="dxa" w:w="50"/>
              <w:left w:type="dxa" w:w="80"/>
              <w:bottom w:type="dxa" w:w="50"/>
              <w:right w:type="dxa" w:w="80"/>
            </w:tcMar>
          </w:tcPr>
          <w:p>
            <w:pPr>
              <w:spacing w:after="20" w:line="240"/>
            </w:pPr>
            <w:r>
              <w:rPr>
                <w:sz w:val="18"/>
                <w:szCs w:val="18"/>
              </w:rPr>
              <w:t xml:space="preserve">Foundation-model provider ships a behavior-changing update without notice; KYC-Vision vendor breach; vendor API deprecation breaking production</w:t>
            </w:r>
          </w:p>
        </w:tc>
      </w:tr>
    </w:tbl>
    <w:p>
      <w:pPr>
        <w:spacing w:after="120"/>
      </w:pPr>
    </w:p>
    <w:p>
      <w:pPr>
        <w:spacing w:after="120" w:line="276"/>
      </w:pPr>
      <w:r>
        <w:t xml:space="preserve">An incident may span categories (a successful prompt injection that exposes PII is C4 + C3). Classify by </w:t>
      </w:r>
      <w:r>
        <w:rPr>
          <w:b/>
          <w:bCs/>
        </w:rPr>
        <w:t xml:space="preserve">primary harm vector</w:t>
      </w:r>
      <w:r>
        <w:t xml:space="preserve">, tag secondaries — the primary drives the containment playbook, tags drive which specialists join.</w:t>
      </w:r>
    </w:p>
    <w:p>
      <w:pPr>
        <w:pStyle w:val="Heading2"/>
        <w:spacing w:after="120" w:before="260"/>
      </w:pPr>
      <w:r>
        <w:t xml:space="preserve">5.2 Severity levels</w:t>
      </w:r>
    </w:p>
    <w:p>
      <w:pPr>
        <w:spacing w:after="120" w:line="276"/>
      </w:pPr>
      <w:r>
        <w:t xml:space="preserve">Severity is scored against five impact dimensions: </w:t>
      </w:r>
      <w:r>
        <w:rPr>
          <w:b/>
          <w:bCs/>
        </w:rPr>
        <w:t xml:space="preserve">harm to users</w:t>
      </w:r>
      <w:r>
        <w:t xml:space="preserve"> (financial, physical, psychological), </w:t>
      </w:r>
      <w:r>
        <w:rPr>
          <w:b/>
          <w:bCs/>
        </w:rPr>
        <w:t xml:space="preserve">scale</w:t>
      </w:r>
      <w:r>
        <w:t xml:space="preserve"> (blast radius), </w:t>
      </w:r>
      <w:r>
        <w:rPr>
          <w:b/>
          <w:bCs/>
        </w:rPr>
        <w:t xml:space="preserve">legal &amp; regulatory exposure</w:t>
      </w:r>
      <w:r>
        <w:t xml:space="preserve">, </w:t>
      </w:r>
      <w:r>
        <w:rPr>
          <w:b/>
          <w:bCs/>
        </w:rPr>
        <w:t xml:space="preserve">reversibility</w:t>
      </w:r>
      <w:r>
        <w:t xml:space="preserve">, and </w:t>
      </w:r>
      <w:r>
        <w:rPr>
          <w:b/>
          <w:bCs/>
        </w:rPr>
        <w:t xml:space="preserve">whether exposure is ongoing</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64"/>
        <w:gridCol w:w="2166"/>
        <w:gridCol w:w="3069"/>
        <w:gridCol w:w="2527"/>
      </w:tblGrid>
      <w:tr>
        <w:trPr>
          <w:tblHeader/>
        </w:trPr>
        <w:tc>
          <w:tcPr>
            <w:tcW w:type="dxa" w:w="1264"/>
            <w:shd w:fill="1F3864" w:color="auto" w:val="clear"/>
            <w:tcMar>
              <w:top w:type="dxa" w:w="60"/>
              <w:left w:type="dxa" w:w="80"/>
              <w:bottom w:type="dxa" w:w="60"/>
              <w:right w:type="dxa" w:w="80"/>
            </w:tcMar>
            <w:vAlign w:val="center"/>
          </w:tcPr>
          <w:p>
            <w:pPr>
              <w:spacing w:after="20" w:line="240"/>
            </w:pPr>
            <w:r>
              <w:rPr>
                <w:b/>
                <w:bCs/>
                <w:color w:val="FFFFFF"/>
                <w:sz w:val="18"/>
                <w:szCs w:val="18"/>
              </w:rPr>
              <w:t xml:space="preserve">Level</w:t>
            </w:r>
          </w:p>
        </w:tc>
        <w:tc>
          <w:tcPr>
            <w:tcW w:type="dxa" w:w="2166"/>
            <w:shd w:fill="1F3864" w:color="auto" w:val="clear"/>
            <w:tcMar>
              <w:top w:type="dxa" w:w="60"/>
              <w:left w:type="dxa" w:w="80"/>
              <w:bottom w:type="dxa" w:w="60"/>
              <w:right w:type="dxa" w:w="80"/>
            </w:tcMar>
            <w:vAlign w:val="center"/>
          </w:tcPr>
          <w:p>
            <w:pPr>
              <w:spacing w:after="20" w:line="240"/>
            </w:pPr>
            <w:r>
              <w:rPr>
                <w:b/>
                <w:bCs/>
                <w:color w:val="FFFFFF"/>
                <w:sz w:val="18"/>
                <w:szCs w:val="18"/>
              </w:rPr>
              <w:t xml:space="preserve">Definition</w:t>
            </w:r>
          </w:p>
        </w:tc>
        <w:tc>
          <w:tcPr>
            <w:tcW w:type="dxa" w:w="3069"/>
            <w:shd w:fill="1F3864" w:color="auto" w:val="clear"/>
            <w:tcMar>
              <w:top w:type="dxa" w:w="60"/>
              <w:left w:type="dxa" w:w="80"/>
              <w:bottom w:type="dxa" w:w="60"/>
              <w:right w:type="dxa" w:w="80"/>
            </w:tcMar>
            <w:vAlign w:val="center"/>
          </w:tcPr>
          <w:p>
            <w:pPr>
              <w:spacing w:after="20" w:line="240"/>
            </w:pPr>
            <w:r>
              <w:rPr>
                <w:b/>
                <w:bCs/>
                <w:color w:val="FFFFFF"/>
                <w:sz w:val="18"/>
                <w:szCs w:val="18"/>
              </w:rPr>
              <w:t xml:space="preserve">Anchors (any one suffices)</w:t>
            </w:r>
          </w:p>
        </w:tc>
        <w:tc>
          <w:tcPr>
            <w:tcW w:type="dxa" w:w="2527"/>
            <w:shd w:fill="1F3864" w:color="auto" w:val="clear"/>
            <w:tcMar>
              <w:top w:type="dxa" w:w="60"/>
              <w:left w:type="dxa" w:w="80"/>
              <w:bottom w:type="dxa" w:w="60"/>
              <w:right w:type="dxa" w:w="80"/>
            </w:tcMar>
            <w:vAlign w:val="center"/>
          </w:tcPr>
          <w:p>
            <w:pPr>
              <w:spacing w:after="20" w:line="240"/>
            </w:pPr>
            <w:r>
              <w:rPr>
                <w:b/>
                <w:bCs/>
                <w:color w:val="FFFFFF"/>
                <w:sz w:val="18"/>
                <w:szCs w:val="18"/>
              </w:rPr>
              <w:t xml:space="preserve">Response posture</w:t>
            </w:r>
          </w:p>
        </w:tc>
      </w:tr>
      <w:tr>
        <w:tc>
          <w:tcPr>
            <w:tcW w:type="dxa" w:w="1264"/>
            <w:tcMar>
              <w:top w:type="dxa" w:w="50"/>
              <w:left w:type="dxa" w:w="80"/>
              <w:bottom w:type="dxa" w:w="50"/>
              <w:right w:type="dxa" w:w="80"/>
            </w:tcMar>
          </w:tcPr>
          <w:p>
            <w:pPr>
              <w:spacing w:after="20" w:line="240"/>
            </w:pPr>
            <w:r>
              <w:rPr>
                <w:sz w:val="18"/>
                <w:szCs w:val="18"/>
              </w:rPr>
              <w:t xml:space="preserve">SEV-1 Critical</w:t>
            </w:r>
          </w:p>
        </w:tc>
        <w:tc>
          <w:tcPr>
            <w:tcW w:type="dxa" w:w="2166"/>
            <w:tcMar>
              <w:top w:type="dxa" w:w="50"/>
              <w:left w:type="dxa" w:w="80"/>
              <w:bottom w:type="dxa" w:w="50"/>
              <w:right w:type="dxa" w:w="80"/>
            </w:tcMar>
          </w:tcPr>
          <w:p>
            <w:pPr>
              <w:spacing w:after="20" w:line="240"/>
            </w:pPr>
            <w:r>
              <w:rPr>
                <w:sz w:val="18"/>
                <w:szCs w:val="18"/>
              </w:rPr>
              <w:t xml:space="preserve">Severe, widespread, or irreversible harm; existential regulatory/trust exposure; harm ongoing</w:t>
            </w:r>
          </w:p>
        </w:tc>
        <w:tc>
          <w:tcPr>
            <w:tcW w:type="dxa" w:w="3069"/>
            <w:tcMar>
              <w:top w:type="dxa" w:w="50"/>
              <w:left w:type="dxa" w:w="80"/>
              <w:bottom w:type="dxa" w:w="50"/>
              <w:right w:type="dxa" w:w="80"/>
            </w:tcMar>
          </w:tcPr>
          <w:p>
            <w:pPr>
              <w:spacing w:after="20" w:line="240"/>
            </w:pPr>
            <w:r>
              <w:rPr>
                <w:sz w:val="18"/>
                <w:szCs w:val="18"/>
              </w:rPr>
              <w:t xml:space="preserve">Active financial loss to users at scale; PII exposure affecting &gt;1% of users; harmful output causing risk to life; regulator-reportable security compromise in progress</w:t>
            </w:r>
          </w:p>
        </w:tc>
        <w:tc>
          <w:tcPr>
            <w:tcW w:type="dxa" w:w="2527"/>
            <w:tcMar>
              <w:top w:type="dxa" w:w="50"/>
              <w:left w:type="dxa" w:w="80"/>
              <w:bottom w:type="dxa" w:w="50"/>
              <w:right w:type="dxa" w:w="80"/>
            </w:tcMar>
          </w:tcPr>
          <w:p>
            <w:pPr>
              <w:spacing w:after="20" w:line="240"/>
            </w:pPr>
            <w:r>
              <w:rPr>
                <w:sz w:val="18"/>
                <w:szCs w:val="18"/>
              </w:rPr>
              <w:t xml:space="preserve">Immediate IC + war room; exec notified ≤ 1 h; all-hands containment; external comms prepared</w:t>
            </w:r>
          </w:p>
        </w:tc>
      </w:tr>
      <w:tr>
        <w:tc>
          <w:tcPr>
            <w:tcW w:type="dxa" w:w="1264"/>
            <w:shd w:fill="F2F6FB" w:color="auto" w:val="clear"/>
            <w:tcMar>
              <w:top w:type="dxa" w:w="50"/>
              <w:left w:type="dxa" w:w="80"/>
              <w:bottom w:type="dxa" w:w="50"/>
              <w:right w:type="dxa" w:w="80"/>
            </w:tcMar>
          </w:tcPr>
          <w:p>
            <w:pPr>
              <w:spacing w:after="20" w:line="240"/>
            </w:pPr>
            <w:r>
              <w:rPr>
                <w:sz w:val="18"/>
                <w:szCs w:val="18"/>
              </w:rPr>
              <w:t xml:space="preserve">SEV-2 High</w:t>
            </w:r>
          </w:p>
        </w:tc>
        <w:tc>
          <w:tcPr>
            <w:tcW w:type="dxa" w:w="2166"/>
            <w:shd w:fill="F2F6FB" w:color="auto" w:val="clear"/>
            <w:tcMar>
              <w:top w:type="dxa" w:w="50"/>
              <w:left w:type="dxa" w:w="80"/>
              <w:bottom w:type="dxa" w:w="50"/>
              <w:right w:type="dxa" w:w="80"/>
            </w:tcMar>
          </w:tcPr>
          <w:p>
            <w:pPr>
              <w:spacing w:after="20" w:line="240"/>
            </w:pPr>
            <w:r>
              <w:rPr>
                <w:sz w:val="18"/>
                <w:szCs w:val="18"/>
              </w:rPr>
              <w:t xml:space="preserve">Significant harm to a meaningful user population, or severe harm to few; contained or containable</w:t>
            </w:r>
          </w:p>
        </w:tc>
        <w:tc>
          <w:tcPr>
            <w:tcW w:type="dxa" w:w="3069"/>
            <w:shd w:fill="F2F6FB" w:color="auto" w:val="clear"/>
            <w:tcMar>
              <w:top w:type="dxa" w:w="50"/>
              <w:left w:type="dxa" w:w="80"/>
              <w:bottom w:type="dxa" w:w="50"/>
              <w:right w:type="dxa" w:w="80"/>
            </w:tcMar>
          </w:tcPr>
          <w:p>
            <w:pPr>
              <w:spacing w:after="20" w:line="240"/>
            </w:pPr>
            <w:r>
              <w:rPr>
                <w:sz w:val="18"/>
                <w:szCs w:val="18"/>
              </w:rPr>
              <w:t xml:space="preserve">Hundreds of accounts wrongly frozen; single confirmed PII exposure with sensitive data; jailbreak class reproducible in production</w:t>
            </w:r>
          </w:p>
        </w:tc>
        <w:tc>
          <w:tcPr>
            <w:tcW w:type="dxa" w:w="2527"/>
            <w:shd w:fill="F2F6FB" w:color="auto" w:val="clear"/>
            <w:tcMar>
              <w:top w:type="dxa" w:w="50"/>
              <w:left w:type="dxa" w:w="80"/>
              <w:bottom w:type="dxa" w:w="50"/>
              <w:right w:type="dxa" w:w="80"/>
            </w:tcMar>
          </w:tcPr>
          <w:p>
            <w:pPr>
              <w:spacing w:after="20" w:line="240"/>
            </w:pPr>
            <w:r>
              <w:rPr>
                <w:sz w:val="18"/>
                <w:szCs w:val="18"/>
              </w:rPr>
              <w:t xml:space="preserve">IC assigned; exec informed same day; containment within defined SLA</w:t>
            </w:r>
          </w:p>
        </w:tc>
      </w:tr>
      <w:tr>
        <w:tc>
          <w:tcPr>
            <w:tcW w:type="dxa" w:w="1264"/>
            <w:tcMar>
              <w:top w:type="dxa" w:w="50"/>
              <w:left w:type="dxa" w:w="80"/>
              <w:bottom w:type="dxa" w:w="50"/>
              <w:right w:type="dxa" w:w="80"/>
            </w:tcMar>
          </w:tcPr>
          <w:p>
            <w:pPr>
              <w:spacing w:after="20" w:line="240"/>
            </w:pPr>
            <w:r>
              <w:rPr>
                <w:sz w:val="18"/>
                <w:szCs w:val="18"/>
              </w:rPr>
              <w:t xml:space="preserve">SEV-3 Moderate</w:t>
            </w:r>
          </w:p>
        </w:tc>
        <w:tc>
          <w:tcPr>
            <w:tcW w:type="dxa" w:w="2166"/>
            <w:tcMar>
              <w:top w:type="dxa" w:w="50"/>
              <w:left w:type="dxa" w:w="80"/>
              <w:bottom w:type="dxa" w:w="50"/>
              <w:right w:type="dxa" w:w="80"/>
            </w:tcMar>
          </w:tcPr>
          <w:p>
            <w:pPr>
              <w:spacing w:after="20" w:line="240"/>
            </w:pPr>
            <w:r>
              <w:rPr>
                <w:sz w:val="18"/>
                <w:szCs w:val="18"/>
              </w:rPr>
              <w:t xml:space="preserve">Limited harm, small blast radius, reversible</w:t>
            </w:r>
          </w:p>
        </w:tc>
        <w:tc>
          <w:tcPr>
            <w:tcW w:type="dxa" w:w="3069"/>
            <w:tcMar>
              <w:top w:type="dxa" w:w="50"/>
              <w:left w:type="dxa" w:w="80"/>
              <w:bottom w:type="dxa" w:w="50"/>
              <w:right w:type="dxa" w:w="80"/>
            </w:tcMar>
          </w:tcPr>
          <w:p>
            <w:pPr>
              <w:spacing w:after="20" w:line="240"/>
            </w:pPr>
            <w:r>
              <w:rPr>
                <w:sz w:val="18"/>
                <w:szCs w:val="18"/>
              </w:rPr>
              <w:t xml:space="preserve">Localized quality degradation; offensive (non-dangerous) outputs affecting few users; vendor latency degrading UX</w:t>
            </w:r>
          </w:p>
        </w:tc>
        <w:tc>
          <w:tcPr>
            <w:tcW w:type="dxa" w:w="2527"/>
            <w:tcMar>
              <w:top w:type="dxa" w:w="50"/>
              <w:left w:type="dxa" w:w="80"/>
              <w:bottom w:type="dxa" w:w="50"/>
              <w:right w:type="dxa" w:w="80"/>
            </w:tcMar>
          </w:tcPr>
          <w:p>
            <w:pPr>
              <w:spacing w:after="20" w:line="240"/>
            </w:pPr>
            <w:r>
              <w:rPr>
                <w:sz w:val="18"/>
                <w:szCs w:val="18"/>
              </w:rPr>
              <w:t xml:space="preserve">Handled in queue by category owner; IC optional; tracked to closure</w:t>
            </w:r>
          </w:p>
        </w:tc>
      </w:tr>
      <w:tr>
        <w:tc>
          <w:tcPr>
            <w:tcW w:type="dxa" w:w="1264"/>
            <w:shd w:fill="F2F6FB" w:color="auto" w:val="clear"/>
            <w:tcMar>
              <w:top w:type="dxa" w:w="50"/>
              <w:left w:type="dxa" w:w="80"/>
              <w:bottom w:type="dxa" w:w="50"/>
              <w:right w:type="dxa" w:w="80"/>
            </w:tcMar>
          </w:tcPr>
          <w:p>
            <w:pPr>
              <w:spacing w:after="20" w:line="240"/>
            </w:pPr>
            <w:r>
              <w:rPr>
                <w:sz w:val="18"/>
                <w:szCs w:val="18"/>
              </w:rPr>
              <w:t xml:space="preserve">SEV-4 Low</w:t>
            </w:r>
          </w:p>
        </w:tc>
        <w:tc>
          <w:tcPr>
            <w:tcW w:type="dxa" w:w="2166"/>
            <w:shd w:fill="F2F6FB" w:color="auto" w:val="clear"/>
            <w:tcMar>
              <w:top w:type="dxa" w:w="50"/>
              <w:left w:type="dxa" w:w="80"/>
              <w:bottom w:type="dxa" w:w="50"/>
              <w:right w:type="dxa" w:w="80"/>
            </w:tcMar>
          </w:tcPr>
          <w:p>
            <w:pPr>
              <w:spacing w:after="20" w:line="240"/>
            </w:pPr>
            <w:r>
              <w:rPr>
                <w:sz w:val="18"/>
                <w:szCs w:val="18"/>
              </w:rPr>
              <w:t xml:space="preserve">Minimal or no user impact; cosmetic or fully mitigated</w:t>
            </w:r>
          </w:p>
        </w:tc>
        <w:tc>
          <w:tcPr>
            <w:tcW w:type="dxa" w:w="3069"/>
            <w:shd w:fill="F2F6FB" w:color="auto" w:val="clear"/>
            <w:tcMar>
              <w:top w:type="dxa" w:w="50"/>
              <w:left w:type="dxa" w:w="80"/>
              <w:bottom w:type="dxa" w:w="50"/>
              <w:right w:type="dxa" w:w="80"/>
            </w:tcMar>
          </w:tcPr>
          <w:p>
            <w:pPr>
              <w:spacing w:after="20" w:line="240"/>
            </w:pPr>
            <w:r>
              <w:rPr>
                <w:sz w:val="18"/>
                <w:szCs w:val="18"/>
              </w:rPr>
              <w:t xml:space="preserve">Guardrail caught the bad output; single hallucination with no action taken on it</w:t>
            </w:r>
          </w:p>
        </w:tc>
        <w:tc>
          <w:tcPr>
            <w:tcW w:type="dxa" w:w="2527"/>
            <w:shd w:fill="F2F6FB" w:color="auto" w:val="clear"/>
            <w:tcMar>
              <w:top w:type="dxa" w:w="50"/>
              <w:left w:type="dxa" w:w="80"/>
              <w:bottom w:type="dxa" w:w="50"/>
              <w:right w:type="dxa" w:w="80"/>
            </w:tcMar>
          </w:tcPr>
          <w:p>
            <w:pPr>
              <w:spacing w:after="20" w:line="240"/>
            </w:pPr>
            <w:r>
              <w:rPr>
                <w:sz w:val="18"/>
                <w:szCs w:val="18"/>
              </w:rPr>
              <w:t xml:space="preserve">Logged, batched review</w:t>
            </w:r>
          </w:p>
        </w:tc>
      </w:tr>
      <w:tr>
        <w:tc>
          <w:tcPr>
            <w:tcW w:type="dxa" w:w="1264"/>
            <w:tcMar>
              <w:top w:type="dxa" w:w="50"/>
              <w:left w:type="dxa" w:w="80"/>
              <w:bottom w:type="dxa" w:w="50"/>
              <w:right w:type="dxa" w:w="80"/>
            </w:tcMar>
          </w:tcPr>
          <w:p>
            <w:pPr>
              <w:spacing w:after="20" w:line="240"/>
            </w:pPr>
            <w:r>
              <w:rPr>
                <w:sz w:val="18"/>
                <w:szCs w:val="18"/>
              </w:rPr>
              <w:t xml:space="preserve">SEV-4-NM Near-miss</w:t>
            </w:r>
          </w:p>
        </w:tc>
        <w:tc>
          <w:tcPr>
            <w:tcW w:type="dxa" w:w="2166"/>
            <w:tcMar>
              <w:top w:type="dxa" w:w="50"/>
              <w:left w:type="dxa" w:w="80"/>
              <w:bottom w:type="dxa" w:w="50"/>
              <w:right w:type="dxa" w:w="80"/>
            </w:tcMar>
          </w:tcPr>
          <w:p>
            <w:pPr>
              <w:spacing w:after="20" w:line="240"/>
            </w:pPr>
            <w:r>
              <w:rPr>
                <w:sz w:val="18"/>
                <w:szCs w:val="18"/>
              </w:rPr>
              <w:t xml:space="preserve">No user impact, but a plausible path to SEV-1–3 existed</w:t>
            </w:r>
          </w:p>
        </w:tc>
        <w:tc>
          <w:tcPr>
            <w:tcW w:type="dxa" w:w="3069"/>
            <w:tcMar>
              <w:top w:type="dxa" w:w="50"/>
              <w:left w:type="dxa" w:w="80"/>
              <w:bottom w:type="dxa" w:w="50"/>
              <w:right w:type="dxa" w:w="80"/>
            </w:tcMar>
          </w:tcPr>
          <w:p>
            <w:pPr>
              <w:spacing w:after="20" w:line="240"/>
            </w:pPr>
            <w:r>
              <w:rPr>
                <w:sz w:val="18"/>
                <w:szCs w:val="18"/>
              </w:rPr>
              <w:t xml:space="preserve">Red team finds production jailbreak pre-exploitation; pipeline bug caught in canary</w:t>
            </w:r>
          </w:p>
        </w:tc>
        <w:tc>
          <w:tcPr>
            <w:tcW w:type="dxa" w:w="2527"/>
            <w:tcMar>
              <w:top w:type="dxa" w:w="50"/>
              <w:left w:type="dxa" w:w="80"/>
              <w:bottom w:type="dxa" w:w="50"/>
              <w:right w:type="dxa" w:w="80"/>
            </w:tcMar>
          </w:tcPr>
          <w:p>
            <w:pPr>
              <w:spacing w:after="20" w:line="240"/>
            </w:pPr>
            <w:r>
              <w:rPr>
                <w:sz w:val="18"/>
                <w:szCs w:val="18"/>
              </w:rPr>
              <w:t xml:space="preserve">Logged with mandatory lightweight review (§6.7)</w:t>
            </w:r>
          </w:p>
        </w:tc>
      </w:tr>
    </w:tbl>
    <w:p>
      <w:pPr>
        <w:spacing w:after="120"/>
      </w:pPr>
    </w:p>
    <w:p>
      <w:pPr>
        <w:spacing w:after="120" w:line="276"/>
      </w:pPr>
      <w:r>
        <w:rPr>
          <w:b/>
          <w:bCs/>
        </w:rPr>
        <w:t xml:space="preserve">Classification rules (from T&amp;S triage discipline):</w:t>
      </w:r>
    </w:p>
    <w:p>
      <w:pPr>
        <w:pStyle w:val="ListParagraph"/>
        <w:numPr>
          <w:ilvl w:val="0"/>
          <w:numId w:val="4"/>
        </w:numPr>
        <w:spacing w:after="80" w:line="276"/>
      </w:pPr>
      <w:r>
        <w:rPr>
          <w:b/>
          <w:bCs/>
        </w:rPr>
        <w:t xml:space="preserve">Default up.</w:t>
      </w:r>
      <w:r>
        <w:t xml:space="preserve"> Uncertain between two levels → take the higher. Downgrading later is cheap; upgrading late is not.</w:t>
      </w:r>
    </w:p>
    <w:p>
      <w:pPr>
        <w:pStyle w:val="ListParagraph"/>
        <w:numPr>
          <w:ilvl w:val="0"/>
          <w:numId w:val="4"/>
        </w:numPr>
        <w:spacing w:after="80" w:line="276"/>
      </w:pPr>
      <w:r>
        <w:rPr>
          <w:b/>
          <w:bCs/>
        </w:rPr>
        <w:t xml:space="preserve">Severity is provisional and re-evaluated</w:t>
      </w:r>
      <w:r>
        <w:t xml:space="preserve"> at every status cadence. Scope discovery frequently upgrades AI incidents (what looks like one bad output is often a class of bad outputs).</w:t>
      </w:r>
    </w:p>
    <w:p>
      <w:pPr>
        <w:pStyle w:val="ListParagraph"/>
        <w:numPr>
          <w:ilvl w:val="0"/>
          <w:numId w:val="4"/>
        </w:numPr>
        <w:spacing w:after="80" w:line="276"/>
      </w:pPr>
      <w:r>
        <w:rPr>
          <w:b/>
          <w:bCs/>
        </w:rPr>
        <w:t xml:space="preserve">Ongoing exposure floors severity at SEV-2.</w:t>
      </w:r>
      <w:r>
        <w:t xml:space="preserve"> If harm is still occurring and uncontained, it cannot be SEV-3/4 regardless of current known scale.</w:t>
      </w:r>
    </w:p>
    <w:p>
      <w:pPr>
        <w:pStyle w:val="ListParagraph"/>
        <w:numPr>
          <w:ilvl w:val="0"/>
          <w:numId w:val="4"/>
        </w:numPr>
        <w:spacing w:after="80" w:line="276"/>
      </w:pPr>
      <w:r>
        <w:rPr>
          <w:b/>
          <w:bCs/>
        </w:rPr>
        <w:t xml:space="preserve">Silent failures get special suspicion.</w:t>
      </w:r>
      <w:r>
        <w:t xml:space="preserve"> A model failing </w:t>
      </w:r>
      <w:r>
        <w:rPr>
          <w:i/>
          <w:iCs/>
        </w:rPr>
        <w:t xml:space="preserve">quietly</w:t>
      </w:r>
      <w:r>
        <w:t xml:space="preserve"> (FALCON missing fraud, not flagging too much) has unbounded scale until proven otherwise — triage must estimate exposure window, not just observed impact.</w:t>
      </w:r>
    </w:p>
    <w:p>
      <w:pPr>
        <w:spacing w:after="120" w:line="276"/>
      </w:pPr>
      <w:r>
        <w:rPr>
          <w:b/>
          <w:bCs/>
        </w:rPr>
        <w:t xml:space="preserve">Severity calibration worksheet (tie-breaker).</w:t>
      </w:r>
      <w:r>
        <w:t xml:space="preserve"> When two responders disagree, or no anchor obviously fits, score the impact dimensions and map the total: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318"/>
        <w:gridCol w:w="2708"/>
      </w:tblGrid>
      <w:tr>
        <w:trPr>
          <w:tblHeader/>
        </w:trPr>
        <w:tc>
          <w:tcPr>
            <w:tcW w:type="dxa" w:w="6318"/>
            <w:shd w:fill="1F3864" w:color="auto" w:val="clear"/>
            <w:tcMar>
              <w:top w:type="dxa" w:w="60"/>
              <w:left w:type="dxa" w:w="80"/>
              <w:bottom w:type="dxa" w:w="60"/>
              <w:right w:type="dxa" w:w="80"/>
            </w:tcMar>
            <w:vAlign w:val="center"/>
          </w:tcPr>
          <w:p>
            <w:pPr>
              <w:spacing w:after="20" w:line="240"/>
            </w:pPr>
            <w:r>
              <w:rPr>
                <w:b/>
                <w:bCs/>
                <w:color w:val="FFFFFF"/>
                <w:sz w:val="18"/>
                <w:szCs w:val="18"/>
              </w:rPr>
              <w:t xml:space="preserve">Dimension</w:t>
            </w:r>
          </w:p>
        </w:tc>
        <w:tc>
          <w:tcPr>
            <w:tcW w:type="dxa" w:w="2708"/>
            <w:shd w:fill="1F3864" w:color="auto" w:val="clear"/>
            <w:tcMar>
              <w:top w:type="dxa" w:w="60"/>
              <w:left w:type="dxa" w:w="80"/>
              <w:bottom w:type="dxa" w:w="60"/>
              <w:right w:type="dxa" w:w="80"/>
            </w:tcMar>
            <w:vAlign w:val="center"/>
          </w:tcPr>
          <w:p>
            <w:pPr>
              <w:spacing w:after="20" w:line="240"/>
              <w:jc w:val="center"/>
            </w:pPr>
            <w:r>
              <w:rPr>
                <w:b/>
                <w:bCs/>
                <w:color w:val="FFFFFF"/>
                <w:sz w:val="18"/>
                <w:szCs w:val="18"/>
              </w:rPr>
              <w:t xml:space="preserve">Score range</w:t>
            </w:r>
          </w:p>
        </w:tc>
      </w:tr>
      <w:tr>
        <w:tc>
          <w:tcPr>
            <w:tcW w:type="dxa" w:w="6318"/>
            <w:tcMar>
              <w:top w:type="dxa" w:w="50"/>
              <w:left w:type="dxa" w:w="80"/>
              <w:bottom w:type="dxa" w:w="50"/>
              <w:right w:type="dxa" w:w="80"/>
            </w:tcMar>
          </w:tcPr>
          <w:p>
            <w:pPr>
              <w:spacing w:after="20" w:line="240"/>
            </w:pPr>
            <w:r>
              <w:rPr>
                <w:sz w:val="18"/>
                <w:szCs w:val="18"/>
              </w:rPr>
              <w:t xml:space="preserve">Harm to users (financial, physical, psychological)</w:t>
            </w:r>
          </w:p>
        </w:tc>
        <w:tc>
          <w:tcPr>
            <w:tcW w:type="dxa" w:w="2708"/>
            <w:tcMar>
              <w:top w:type="dxa" w:w="50"/>
              <w:left w:type="dxa" w:w="80"/>
              <w:bottom w:type="dxa" w:w="50"/>
              <w:right w:type="dxa" w:w="80"/>
            </w:tcMar>
          </w:tcPr>
          <w:p>
            <w:pPr>
              <w:spacing w:after="20" w:line="240"/>
              <w:jc w:val="center"/>
            </w:pPr>
            <w:r>
              <w:rPr>
                <w:sz w:val="18"/>
                <w:szCs w:val="18"/>
              </w:rPr>
              <w:t xml:space="preserve">0–4</w:t>
            </w:r>
          </w:p>
        </w:tc>
      </w:tr>
      <w:tr>
        <w:tc>
          <w:tcPr>
            <w:tcW w:type="dxa" w:w="6318"/>
            <w:shd w:fill="F2F6FB" w:color="auto" w:val="clear"/>
            <w:tcMar>
              <w:top w:type="dxa" w:w="50"/>
              <w:left w:type="dxa" w:w="80"/>
              <w:bottom w:type="dxa" w:w="50"/>
              <w:right w:type="dxa" w:w="80"/>
            </w:tcMar>
          </w:tcPr>
          <w:p>
            <w:pPr>
              <w:spacing w:after="20" w:line="240"/>
            </w:pPr>
            <w:r>
              <w:rPr>
                <w:sz w:val="18"/>
                <w:szCs w:val="18"/>
              </w:rPr>
              <w:t xml:space="preserve">Scale / blast radius</w:t>
            </w:r>
          </w:p>
        </w:tc>
        <w:tc>
          <w:tcPr>
            <w:tcW w:type="dxa" w:w="2708"/>
            <w:shd w:fill="F2F6FB" w:color="auto" w:val="clear"/>
            <w:tcMar>
              <w:top w:type="dxa" w:w="50"/>
              <w:left w:type="dxa" w:w="80"/>
              <w:bottom w:type="dxa" w:w="50"/>
              <w:right w:type="dxa" w:w="80"/>
            </w:tcMar>
          </w:tcPr>
          <w:p>
            <w:pPr>
              <w:spacing w:after="20" w:line="240"/>
              <w:jc w:val="center"/>
            </w:pPr>
            <w:r>
              <w:rPr>
                <w:sz w:val="18"/>
                <w:szCs w:val="18"/>
              </w:rPr>
              <w:t xml:space="preserve">0–4</w:t>
            </w:r>
          </w:p>
        </w:tc>
      </w:tr>
      <w:tr>
        <w:tc>
          <w:tcPr>
            <w:tcW w:type="dxa" w:w="6318"/>
            <w:tcMar>
              <w:top w:type="dxa" w:w="50"/>
              <w:left w:type="dxa" w:w="80"/>
              <w:bottom w:type="dxa" w:w="50"/>
              <w:right w:type="dxa" w:w="80"/>
            </w:tcMar>
          </w:tcPr>
          <w:p>
            <w:pPr>
              <w:spacing w:after="20" w:line="240"/>
            </w:pPr>
            <w:r>
              <w:rPr>
                <w:sz w:val="18"/>
                <w:szCs w:val="18"/>
              </w:rPr>
              <w:t xml:space="preserve">Legal &amp; regulatory exposure</w:t>
            </w:r>
          </w:p>
        </w:tc>
        <w:tc>
          <w:tcPr>
            <w:tcW w:type="dxa" w:w="2708"/>
            <w:tcMar>
              <w:top w:type="dxa" w:w="50"/>
              <w:left w:type="dxa" w:w="80"/>
              <w:bottom w:type="dxa" w:w="50"/>
              <w:right w:type="dxa" w:w="80"/>
            </w:tcMar>
          </w:tcPr>
          <w:p>
            <w:pPr>
              <w:spacing w:after="20" w:line="240"/>
              <w:jc w:val="center"/>
            </w:pPr>
            <w:r>
              <w:rPr>
                <w:sz w:val="18"/>
                <w:szCs w:val="18"/>
              </w:rPr>
              <w:t xml:space="preserve">0–4</w:t>
            </w:r>
          </w:p>
        </w:tc>
      </w:tr>
      <w:tr>
        <w:tc>
          <w:tcPr>
            <w:tcW w:type="dxa" w:w="6318"/>
            <w:shd w:fill="F2F6FB" w:color="auto" w:val="clear"/>
            <w:tcMar>
              <w:top w:type="dxa" w:w="50"/>
              <w:left w:type="dxa" w:w="80"/>
              <w:bottom w:type="dxa" w:w="50"/>
              <w:right w:type="dxa" w:w="80"/>
            </w:tcMar>
          </w:tcPr>
          <w:p>
            <w:pPr>
              <w:spacing w:after="20" w:line="240"/>
            </w:pPr>
            <w:r>
              <w:rPr>
                <w:sz w:val="18"/>
                <w:szCs w:val="18"/>
              </w:rPr>
              <w:t xml:space="preserve">Irreversibility</w:t>
            </w:r>
          </w:p>
        </w:tc>
        <w:tc>
          <w:tcPr>
            <w:tcW w:type="dxa" w:w="2708"/>
            <w:shd w:fill="F2F6FB" w:color="auto" w:val="clear"/>
            <w:tcMar>
              <w:top w:type="dxa" w:w="50"/>
              <w:left w:type="dxa" w:w="80"/>
              <w:bottom w:type="dxa" w:w="50"/>
              <w:right w:type="dxa" w:w="80"/>
            </w:tcMar>
          </w:tcPr>
          <w:p>
            <w:pPr>
              <w:spacing w:after="20" w:line="240"/>
              <w:jc w:val="center"/>
            </w:pPr>
            <w:r>
              <w:rPr>
                <w:sz w:val="18"/>
                <w:szCs w:val="18"/>
              </w:rPr>
              <w:t xml:space="preserve">0–2</w:t>
            </w:r>
          </w:p>
        </w:tc>
      </w:tr>
      <w:tr>
        <w:tc>
          <w:tcPr>
            <w:tcW w:type="dxa" w:w="6318"/>
            <w:tcMar>
              <w:top w:type="dxa" w:w="50"/>
              <w:left w:type="dxa" w:w="80"/>
              <w:bottom w:type="dxa" w:w="50"/>
              <w:right w:type="dxa" w:w="80"/>
            </w:tcMar>
          </w:tcPr>
          <w:p>
            <w:pPr>
              <w:spacing w:after="20" w:line="240"/>
            </w:pPr>
            <w:r>
              <w:rPr>
                <w:sz w:val="18"/>
                <w:szCs w:val="18"/>
              </w:rPr>
              <w:t xml:space="preserve">Ongoing exposure</w:t>
            </w:r>
          </w:p>
        </w:tc>
        <w:tc>
          <w:tcPr>
            <w:tcW w:type="dxa" w:w="2708"/>
            <w:tcMar>
              <w:top w:type="dxa" w:w="50"/>
              <w:left w:type="dxa" w:w="80"/>
              <w:bottom w:type="dxa" w:w="50"/>
              <w:right w:type="dxa" w:w="80"/>
            </w:tcMar>
          </w:tcPr>
          <w:p>
            <w:pPr>
              <w:spacing w:after="20" w:line="240"/>
              <w:jc w:val="center"/>
            </w:pPr>
            <w:r>
              <w:rPr>
                <w:sz w:val="18"/>
                <w:szCs w:val="18"/>
              </w:rPr>
              <w:t xml:space="preserve">0–2</w:t>
            </w:r>
          </w:p>
        </w:tc>
      </w:tr>
    </w:tbl>
    <w:p>
      <w:pPr>
        <w:spacing w:after="120"/>
      </w:pPr>
    </w:p>
    <w:p>
      <w:pPr>
        <w:spacing w:after="120" w:line="276"/>
      </w:pPr>
      <w:r>
        <w:rPr>
          <w:b/>
          <w:bCs/>
        </w:rPr>
        <w:t xml:space="preserve">Mapping:</w:t>
      </w:r>
      <w:r>
        <w:t xml:space="preserve"> total ≥ 12 → SEV-1 · 8–11 → SEV-2 · 4–7 → SEV-3 · ≤ 3 → SEV-4.</w:t>
      </w:r>
    </w:p>
    <w:p>
      <w:pPr>
        <w:spacing w:after="120" w:line="276"/>
      </w:pPr>
      <w:r>
        <w:t xml:space="preserve">The worksheet is a </w:t>
      </w:r>
      <w:r>
        <w:rPr>
          <w:b/>
          <w:bCs/>
        </w:rPr>
        <w:t xml:space="preserve">calibration aid, not the primary method</w:t>
      </w:r>
      <w:r>
        <w:t xml:space="preserve"> — the anchors and the default-up rule prevail (numeric scoring of ambiguous situations creates false precision if treated as authoritative). Each use is noted in the incident record; recurring disagreement on the same scenario type is taxonomy feedback for the AI Incident Review Board.</w:t>
      </w:r>
    </w:p>
    <w:p>
      <w:pPr>
        <w:pStyle w:val="Heading2"/>
        <w:spacing w:after="120" w:before="260"/>
      </w:pPr>
      <w:r>
        <w:t xml:space="preserve">5.3 Category × severity worked examples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993"/>
        <w:gridCol w:w="1083"/>
        <w:gridCol w:w="3340"/>
      </w:tblGrid>
      <w:tr>
        <w:trPr>
          <w:tblHeader/>
        </w:trPr>
        <w:tc>
          <w:tcPr>
            <w:tcW w:type="dxa" w:w="3610"/>
            <w:shd w:fill="1F3864" w:color="auto" w:val="clear"/>
            <w:tcMar>
              <w:top w:type="dxa" w:w="60"/>
              <w:left w:type="dxa" w:w="80"/>
              <w:bottom w:type="dxa" w:w="60"/>
              <w:right w:type="dxa" w:w="80"/>
            </w:tcMar>
            <w:vAlign w:val="center"/>
          </w:tcPr>
          <w:p>
            <w:pPr>
              <w:spacing w:after="20" w:line="240"/>
            </w:pPr>
            <w:r>
              <w:rPr>
                <w:b/>
                <w:bCs/>
                <w:color w:val="FFFFFF"/>
                <w:sz w:val="18"/>
                <w:szCs w:val="18"/>
              </w:rPr>
              <w:t xml:space="preserve">Scenario</w:t>
            </w:r>
          </w:p>
        </w:tc>
        <w:tc>
          <w:tcPr>
            <w:tcW w:type="dxa" w:w="993"/>
            <w:shd w:fill="1F3864" w:color="auto" w:val="clear"/>
            <w:tcMar>
              <w:top w:type="dxa" w:w="60"/>
              <w:left w:type="dxa" w:w="80"/>
              <w:bottom w:type="dxa" w:w="60"/>
              <w:right w:type="dxa" w:w="80"/>
            </w:tcMar>
            <w:vAlign w:val="center"/>
          </w:tcPr>
          <w:p>
            <w:pPr>
              <w:spacing w:after="20" w:line="240"/>
              <w:jc w:val="center"/>
            </w:pPr>
            <w:r>
              <w:rPr>
                <w:b/>
                <w:bCs/>
                <w:color w:val="FFFFFF"/>
                <w:sz w:val="18"/>
                <w:szCs w:val="18"/>
              </w:rPr>
              <w:t xml:space="preserve">Category</w:t>
            </w:r>
          </w:p>
        </w:tc>
        <w:tc>
          <w:tcPr>
            <w:tcW w:type="dxa" w:w="1083"/>
            <w:shd w:fill="1F3864" w:color="auto" w:val="clear"/>
            <w:tcMar>
              <w:top w:type="dxa" w:w="60"/>
              <w:left w:type="dxa" w:w="80"/>
              <w:bottom w:type="dxa" w:w="60"/>
              <w:right w:type="dxa" w:w="80"/>
            </w:tcMar>
            <w:vAlign w:val="center"/>
          </w:tcPr>
          <w:p>
            <w:pPr>
              <w:spacing w:after="20" w:line="240"/>
              <w:jc w:val="center"/>
            </w:pPr>
            <w:r>
              <w:rPr>
                <w:b/>
                <w:bCs/>
                <w:color w:val="FFFFFF"/>
                <w:sz w:val="18"/>
                <w:szCs w:val="18"/>
              </w:rPr>
              <w:t xml:space="preserve">Severity</w:t>
            </w:r>
          </w:p>
        </w:tc>
        <w:tc>
          <w:tcPr>
            <w:tcW w:type="dxa" w:w="3340"/>
            <w:shd w:fill="1F3864" w:color="auto" w:val="clear"/>
            <w:tcMar>
              <w:top w:type="dxa" w:w="60"/>
              <w:left w:type="dxa" w:w="80"/>
              <w:bottom w:type="dxa" w:w="60"/>
              <w:right w:type="dxa" w:w="80"/>
            </w:tcMar>
            <w:vAlign w:val="center"/>
          </w:tcPr>
          <w:p>
            <w:pPr>
              <w:spacing w:after="20" w:line="240"/>
            </w:pPr>
            <w:r>
              <w:rPr>
                <w:b/>
                <w:bCs/>
                <w:color w:val="FFFFFF"/>
                <w:sz w:val="18"/>
                <w:szCs w:val="18"/>
              </w:rPr>
              <w:t xml:space="preserve">Why</w:t>
            </w:r>
          </w:p>
        </w:tc>
      </w:tr>
      <w:tr>
        <w:tc>
          <w:tcPr>
            <w:tcW w:type="dxa" w:w="3610"/>
            <w:tcMar>
              <w:top w:type="dxa" w:w="50"/>
              <w:left w:type="dxa" w:w="80"/>
              <w:bottom w:type="dxa" w:w="50"/>
              <w:right w:type="dxa" w:w="80"/>
            </w:tcMar>
          </w:tcPr>
          <w:p>
            <w:pPr>
              <w:spacing w:after="20" w:line="240"/>
            </w:pPr>
            <w:r>
              <w:rPr>
                <w:sz w:val="18"/>
                <w:szCs w:val="18"/>
              </w:rPr>
              <w:t xml:space="preserve">ARIA instructs a user to move funds to a “verification wallet” (scam pattern in retrieved content); 40 users saw it, 3 complied</w:t>
            </w:r>
          </w:p>
        </w:tc>
        <w:tc>
          <w:tcPr>
            <w:tcW w:type="dxa" w:w="993"/>
            <w:tcMar>
              <w:top w:type="dxa" w:w="50"/>
              <w:left w:type="dxa" w:w="80"/>
              <w:bottom w:type="dxa" w:w="50"/>
              <w:right w:type="dxa" w:w="80"/>
            </w:tcMar>
          </w:tcPr>
          <w:p>
            <w:pPr>
              <w:spacing w:after="20" w:line="240"/>
              <w:jc w:val="center"/>
            </w:pPr>
            <w:r>
              <w:rPr>
                <w:sz w:val="18"/>
                <w:szCs w:val="18"/>
              </w:rPr>
              <w:t xml:space="preserve">C1 (+C6)</w:t>
            </w:r>
          </w:p>
        </w:tc>
        <w:tc>
          <w:tcPr>
            <w:tcW w:type="dxa" w:w="1083"/>
            <w:tcMar>
              <w:top w:type="dxa" w:w="50"/>
              <w:left w:type="dxa" w:w="80"/>
              <w:bottom w:type="dxa" w:w="50"/>
              <w:right w:type="dxa" w:w="80"/>
            </w:tcMar>
          </w:tcPr>
          <w:p>
            <w:pPr>
              <w:spacing w:after="20" w:line="240"/>
              <w:jc w:val="center"/>
            </w:pPr>
            <w:r>
              <w:rPr>
                <w:sz w:val="18"/>
                <w:szCs w:val="18"/>
              </w:rPr>
              <w:t xml:space="preserve">SEV-1</w:t>
            </w:r>
          </w:p>
        </w:tc>
        <w:tc>
          <w:tcPr>
            <w:tcW w:type="dxa" w:w="3340"/>
            <w:tcMar>
              <w:top w:type="dxa" w:w="50"/>
              <w:left w:type="dxa" w:w="80"/>
              <w:bottom w:type="dxa" w:w="50"/>
              <w:right w:type="dxa" w:w="80"/>
            </w:tcMar>
          </w:tcPr>
          <w:p>
            <w:pPr>
              <w:spacing w:after="20" w:line="240"/>
            </w:pPr>
            <w:r>
              <w:rPr>
                <w:sz w:val="18"/>
                <w:szCs w:val="18"/>
              </w:rPr>
              <w:t xml:space="preserve">Irreversible financial harm, ongoing until contained</w:t>
            </w:r>
          </w:p>
        </w:tc>
      </w:tr>
      <w:tr>
        <w:tc>
          <w:tcPr>
            <w:tcW w:type="dxa" w:w="3610"/>
            <w:shd w:fill="F2F6FB" w:color="auto" w:val="clear"/>
            <w:tcMar>
              <w:top w:type="dxa" w:w="50"/>
              <w:left w:type="dxa" w:w="80"/>
              <w:bottom w:type="dxa" w:w="50"/>
              <w:right w:type="dxa" w:w="80"/>
            </w:tcMar>
          </w:tcPr>
          <w:p>
            <w:pPr>
              <w:spacing w:after="20" w:line="240"/>
            </w:pPr>
            <w:r>
              <w:rPr>
                <w:sz w:val="18"/>
                <w:szCs w:val="18"/>
              </w:rPr>
              <w:t xml:space="preserve">FALCON update triples false positives overnight; 3,000 accounts frozen</w:t>
            </w:r>
          </w:p>
        </w:tc>
        <w:tc>
          <w:tcPr>
            <w:tcW w:type="dxa" w:w="993"/>
            <w:shd w:fill="F2F6FB" w:color="auto" w:val="clear"/>
            <w:tcMar>
              <w:top w:type="dxa" w:w="50"/>
              <w:left w:type="dxa" w:w="80"/>
              <w:bottom w:type="dxa" w:w="50"/>
              <w:right w:type="dxa" w:w="80"/>
            </w:tcMar>
          </w:tcPr>
          <w:p>
            <w:pPr>
              <w:spacing w:after="20" w:line="240"/>
              <w:jc w:val="center"/>
            </w:pPr>
            <w:r>
              <w:rPr>
                <w:sz w:val="18"/>
                <w:szCs w:val="18"/>
              </w:rPr>
              <w:t xml:space="preserve">C2</w:t>
            </w:r>
          </w:p>
        </w:tc>
        <w:tc>
          <w:tcPr>
            <w:tcW w:type="dxa" w:w="1083"/>
            <w:shd w:fill="F2F6FB" w:color="auto" w:val="clear"/>
            <w:tcMar>
              <w:top w:type="dxa" w:w="50"/>
              <w:left w:type="dxa" w:w="80"/>
              <w:bottom w:type="dxa" w:w="50"/>
              <w:right w:type="dxa" w:w="80"/>
            </w:tcMar>
          </w:tcPr>
          <w:p>
            <w:pPr>
              <w:spacing w:after="20" w:line="240"/>
              <w:jc w:val="center"/>
            </w:pPr>
            <w:r>
              <w:rPr>
                <w:sz w:val="18"/>
                <w:szCs w:val="18"/>
              </w:rPr>
              <w:t xml:space="preserve">SEV-2</w:t>
            </w:r>
          </w:p>
        </w:tc>
        <w:tc>
          <w:tcPr>
            <w:tcW w:type="dxa" w:w="3340"/>
            <w:shd w:fill="F2F6FB" w:color="auto" w:val="clear"/>
            <w:tcMar>
              <w:top w:type="dxa" w:w="50"/>
              <w:left w:type="dxa" w:w="80"/>
              <w:bottom w:type="dxa" w:w="50"/>
              <w:right w:type="dxa" w:w="80"/>
            </w:tcMar>
          </w:tcPr>
          <w:p>
            <w:pPr>
              <w:spacing w:after="20" w:line="240"/>
            </w:pPr>
            <w:r>
              <w:rPr>
                <w:sz w:val="18"/>
                <w:szCs w:val="18"/>
              </w:rPr>
              <w:t xml:space="preserve">Large scale but reversible; harm is inconvenience + trust, not loss</w:t>
            </w:r>
          </w:p>
        </w:tc>
      </w:tr>
      <w:tr>
        <w:tc>
          <w:tcPr>
            <w:tcW w:type="dxa" w:w="3610"/>
            <w:tcMar>
              <w:top w:type="dxa" w:w="50"/>
              <w:left w:type="dxa" w:w="80"/>
              <w:bottom w:type="dxa" w:w="50"/>
              <w:right w:type="dxa" w:w="80"/>
            </w:tcMar>
          </w:tcPr>
          <w:p>
            <w:pPr>
              <w:spacing w:after="20" w:line="240"/>
            </w:pPr>
            <w:r>
              <w:rPr>
                <w:sz w:val="18"/>
                <w:szCs w:val="18"/>
              </w:rPr>
              <w:t xml:space="preserve">Researcher responsibly discloses ARIA system-prompt extraction; no evidence of exploitation</w:t>
            </w:r>
          </w:p>
        </w:tc>
        <w:tc>
          <w:tcPr>
            <w:tcW w:type="dxa" w:w="993"/>
            <w:tcMar>
              <w:top w:type="dxa" w:w="50"/>
              <w:left w:type="dxa" w:w="80"/>
              <w:bottom w:type="dxa" w:w="50"/>
              <w:right w:type="dxa" w:w="80"/>
            </w:tcMar>
          </w:tcPr>
          <w:p>
            <w:pPr>
              <w:spacing w:after="20" w:line="240"/>
              <w:jc w:val="center"/>
            </w:pPr>
            <w:r>
              <w:rPr>
                <w:sz w:val="18"/>
                <w:szCs w:val="18"/>
              </w:rPr>
              <w:t xml:space="preserve">C4</w:t>
            </w:r>
          </w:p>
        </w:tc>
        <w:tc>
          <w:tcPr>
            <w:tcW w:type="dxa" w:w="1083"/>
            <w:tcMar>
              <w:top w:type="dxa" w:w="50"/>
              <w:left w:type="dxa" w:w="80"/>
              <w:bottom w:type="dxa" w:w="50"/>
              <w:right w:type="dxa" w:w="80"/>
            </w:tcMar>
          </w:tcPr>
          <w:p>
            <w:pPr>
              <w:spacing w:after="20" w:line="240"/>
              <w:jc w:val="center"/>
            </w:pPr>
            <w:r>
              <w:rPr>
                <w:sz w:val="18"/>
                <w:szCs w:val="18"/>
              </w:rPr>
              <w:t xml:space="preserve">SEV-3</w:t>
            </w:r>
          </w:p>
        </w:tc>
        <w:tc>
          <w:tcPr>
            <w:tcW w:type="dxa" w:w="3340"/>
            <w:tcMar>
              <w:top w:type="dxa" w:w="50"/>
              <w:left w:type="dxa" w:w="80"/>
              <w:bottom w:type="dxa" w:w="50"/>
              <w:right w:type="dxa" w:w="80"/>
            </w:tcMar>
          </w:tcPr>
          <w:p>
            <w:pPr>
              <w:spacing w:after="20" w:line="240"/>
            </w:pPr>
            <w:r>
              <w:rPr>
                <w:sz w:val="18"/>
                <w:szCs w:val="18"/>
              </w:rPr>
              <w:t xml:space="preserve">Real vulnerability, no current harm; drives remediation not war room</w:t>
            </w:r>
          </w:p>
        </w:tc>
      </w:tr>
      <w:tr>
        <w:tc>
          <w:tcPr>
            <w:tcW w:type="dxa" w:w="3610"/>
            <w:shd w:fill="F2F6FB" w:color="auto" w:val="clear"/>
            <w:tcMar>
              <w:top w:type="dxa" w:w="50"/>
              <w:left w:type="dxa" w:w="80"/>
              <w:bottom w:type="dxa" w:w="50"/>
              <w:right w:type="dxa" w:w="80"/>
            </w:tcMar>
          </w:tcPr>
          <w:p>
            <w:pPr>
              <w:spacing w:after="20" w:line="240"/>
            </w:pPr>
            <w:r>
              <w:rPr>
                <w:sz w:val="18"/>
                <w:szCs w:val="18"/>
              </w:rPr>
              <w:t xml:space="preserve">Internal audit finds KYC-Vision approval-rate disparity by document origin</w:t>
            </w:r>
          </w:p>
        </w:tc>
        <w:tc>
          <w:tcPr>
            <w:tcW w:type="dxa" w:w="993"/>
            <w:shd w:fill="F2F6FB" w:color="auto" w:val="clear"/>
            <w:tcMar>
              <w:top w:type="dxa" w:w="50"/>
              <w:left w:type="dxa" w:w="80"/>
              <w:bottom w:type="dxa" w:w="50"/>
              <w:right w:type="dxa" w:w="80"/>
            </w:tcMar>
          </w:tcPr>
          <w:p>
            <w:pPr>
              <w:spacing w:after="20" w:line="240"/>
              <w:jc w:val="center"/>
            </w:pPr>
            <w:r>
              <w:rPr>
                <w:sz w:val="18"/>
                <w:szCs w:val="18"/>
              </w:rPr>
              <w:t xml:space="preserve">C5</w:t>
            </w:r>
          </w:p>
        </w:tc>
        <w:tc>
          <w:tcPr>
            <w:tcW w:type="dxa" w:w="1083"/>
            <w:shd w:fill="F2F6FB" w:color="auto" w:val="clear"/>
            <w:tcMar>
              <w:top w:type="dxa" w:w="50"/>
              <w:left w:type="dxa" w:w="80"/>
              <w:bottom w:type="dxa" w:w="50"/>
              <w:right w:type="dxa" w:w="80"/>
            </w:tcMar>
          </w:tcPr>
          <w:p>
            <w:pPr>
              <w:spacing w:after="20" w:line="240"/>
              <w:jc w:val="center"/>
            </w:pPr>
            <w:r>
              <w:rPr>
                <w:sz w:val="18"/>
                <w:szCs w:val="18"/>
              </w:rPr>
              <w:t xml:space="preserve">SEV-2</w:t>
            </w:r>
          </w:p>
        </w:tc>
        <w:tc>
          <w:tcPr>
            <w:tcW w:type="dxa" w:w="3340"/>
            <w:shd w:fill="F2F6FB" w:color="auto" w:val="clear"/>
            <w:tcMar>
              <w:top w:type="dxa" w:w="50"/>
              <w:left w:type="dxa" w:w="80"/>
              <w:bottom w:type="dxa" w:w="50"/>
              <w:right w:type="dxa" w:w="80"/>
            </w:tcMar>
          </w:tcPr>
          <w:p>
            <w:pPr>
              <w:spacing w:after="20" w:line="240"/>
            </w:pPr>
            <w:r>
              <w:rPr>
                <w:sz w:val="18"/>
                <w:szCs w:val="18"/>
              </w:rPr>
              <w:t xml:space="preserve">Systemic, legally exposed, affects access to financial services; not “ongoing acute” but floor rules apply given continuing decisions</w:t>
            </w:r>
          </w:p>
        </w:tc>
      </w:tr>
      <w:tr>
        <w:tc>
          <w:tcPr>
            <w:tcW w:type="dxa" w:w="3610"/>
            <w:tcMar>
              <w:top w:type="dxa" w:w="50"/>
              <w:left w:type="dxa" w:w="80"/>
              <w:bottom w:type="dxa" w:w="50"/>
              <w:right w:type="dxa" w:w="80"/>
            </w:tcMar>
          </w:tcPr>
          <w:p>
            <w:pPr>
              <w:spacing w:after="20" w:line="240"/>
            </w:pPr>
            <w:r>
              <w:rPr>
                <w:sz w:val="18"/>
                <w:szCs w:val="18"/>
              </w:rPr>
              <w:t xml:space="preserve">Canary deploy catches FALCON scoring inversion before full rollout</w:t>
            </w:r>
          </w:p>
        </w:tc>
        <w:tc>
          <w:tcPr>
            <w:tcW w:type="dxa" w:w="993"/>
            <w:tcMar>
              <w:top w:type="dxa" w:w="50"/>
              <w:left w:type="dxa" w:w="80"/>
              <w:bottom w:type="dxa" w:w="50"/>
              <w:right w:type="dxa" w:w="80"/>
            </w:tcMar>
          </w:tcPr>
          <w:p>
            <w:pPr>
              <w:spacing w:after="20" w:line="240"/>
              <w:jc w:val="center"/>
            </w:pPr>
            <w:r>
              <w:rPr>
                <w:sz w:val="18"/>
                <w:szCs w:val="18"/>
              </w:rPr>
              <w:t xml:space="preserve">C2</w:t>
            </w:r>
          </w:p>
        </w:tc>
        <w:tc>
          <w:tcPr>
            <w:tcW w:type="dxa" w:w="1083"/>
            <w:tcMar>
              <w:top w:type="dxa" w:w="50"/>
              <w:left w:type="dxa" w:w="80"/>
              <w:bottom w:type="dxa" w:w="50"/>
              <w:right w:type="dxa" w:w="80"/>
            </w:tcMar>
          </w:tcPr>
          <w:p>
            <w:pPr>
              <w:spacing w:after="20" w:line="240"/>
              <w:jc w:val="center"/>
            </w:pPr>
            <w:r>
              <w:rPr>
                <w:sz w:val="18"/>
                <w:szCs w:val="18"/>
              </w:rPr>
              <w:t xml:space="preserve">SEV-4-NM</w:t>
            </w:r>
          </w:p>
        </w:tc>
        <w:tc>
          <w:tcPr>
            <w:tcW w:type="dxa" w:w="3340"/>
            <w:tcMar>
              <w:top w:type="dxa" w:w="50"/>
              <w:left w:type="dxa" w:w="80"/>
              <w:bottom w:type="dxa" w:w="50"/>
              <w:right w:type="dxa" w:w="80"/>
            </w:tcMar>
          </w:tcPr>
          <w:p>
            <w:pPr>
              <w:spacing w:after="20" w:line="240"/>
            </w:pPr>
            <w:r>
              <w:rPr>
                <w:sz w:val="18"/>
                <w:szCs w:val="18"/>
              </w:rPr>
              <w:t xml:space="preserve">Zero impact; mandatory near-miss review because full rollout would have been SEV-1</w:t>
            </w:r>
          </w:p>
        </w:tc>
      </w:tr>
    </w:tbl>
    <w:p>
      <w:pPr>
        <w:spacing w:after="120"/>
      </w:pPr>
    </w:p>
    <w:p>
      <w:pPr>
        <w:pStyle w:val="Heading1"/>
        <w:spacing w:after="160" w:before="340"/>
      </w:pPr>
      <w:r>
        <w:t xml:space="preserve">6. Incident Lifecycle</w:t>
      </w:r>
    </w:p>
    <w:p>
      <w:pPr>
        <w:spacing w:after="120" w:line="276"/>
      </w:pPr>
      <w:r>
        <w:rPr>
          <w:b/>
          <w:bCs/>
        </w:rPr>
        <w:t xml:space="preserve">End-to-end workflow.</w:t>
      </w:r>
      <w:r>
        <w:t xml:space="preserve"> </w:t>
      </w:r>
      <w:r>
        <w:rPr>
          <w:i/>
          <w:iCs/>
        </w:rPr>
        <w:t xml:space="preserve">(The Markdown source of this playbook renders this workflow as a Mermaid flowchart; the summary below is equivalent.)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EAF0F8" w:color="auto" w:val="clear"/>
            <w:tcMar>
              <w:top w:type="dxa" w:w="90"/>
              <w:left w:type="dxa" w:w="160"/>
              <w:bottom w:type="dxa" w:w="90"/>
              <w:right w:type="dxa" w:w="160"/>
            </w:tcMar>
          </w:tcPr>
          <w:p>
            <w:pPr>
              <w:spacing w:after="20" w:line="240"/>
              <w:jc w:val="center"/>
            </w:pPr>
            <w:r>
              <w:rPr>
                <w:sz w:val="19"/>
                <w:szCs w:val="19"/>
              </w:rPr>
              <w:t xml:space="preserve">6.1 DETECTION &amp; INTAKE</w:t>
            </w:r>
            <w:r>
              <w:rPr>
                <w:sz w:val="19"/>
                <w:szCs w:val="19"/>
              </w:rPr>
              <w:t xml:space="preserve"> — automated monitoring &amp; triage layer (Sentinel) · user reports · internal red team &amp; employees · external (researchers, vendors, regulators, media) → single intake queue, structured record, snapshot triggered</w:t>
            </w:r>
          </w:p>
        </w:tc>
      </w:tr>
    </w:tbl>
    <w:p>
      <w:pPr>
        <w:spacing w:after="40" w:before="40"/>
        <w:jc w:val="center"/>
      </w:pPr>
      <w:r>
        <w:rPr>
          <w:color w:val="2E5496"/>
          <w:sz w:val="18"/>
          <w:szCs w:val="18"/>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EAF0F8" w:color="auto" w:val="clear"/>
            <w:tcMar>
              <w:top w:type="dxa" w:w="90"/>
              <w:left w:type="dxa" w:w="160"/>
              <w:bottom w:type="dxa" w:w="90"/>
              <w:right w:type="dxa" w:w="160"/>
            </w:tcMar>
          </w:tcPr>
          <w:p>
            <w:pPr>
              <w:spacing w:after="20" w:line="240"/>
              <w:jc w:val="center"/>
            </w:pPr>
            <w:r>
              <w:rPr>
                <w:sz w:val="19"/>
                <w:szCs w:val="19"/>
              </w:rPr>
              <w:t xml:space="preserve">6.2 TRIAGE</w:t>
            </w:r>
            <w:r>
              <w:rPr>
                <w:sz w:val="19"/>
                <w:szCs w:val="19"/>
              </w:rPr>
              <w:t xml:space="preserve"> — AI in the causal chain? (No → standard IR/support) · assign Category C1–C7 + Severity SEV-1–4 · scope: instance or class? · pull in Privacy/Legal if clocks may run</w:t>
            </w:r>
          </w:p>
        </w:tc>
      </w:tr>
    </w:tbl>
    <w:p>
      <w:pPr>
        <w:spacing w:after="40" w:before="40"/>
        <w:jc w:val="center"/>
      </w:pPr>
      <w:r>
        <w:rPr>
          <w:color w:val="2E5496"/>
          <w:sz w:val="18"/>
          <w:szCs w:val="18"/>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EAF0F8" w:color="auto" w:val="clear"/>
            <w:tcMar>
              <w:top w:type="dxa" w:w="90"/>
              <w:left w:type="dxa" w:w="160"/>
              <w:bottom w:type="dxa" w:w="90"/>
              <w:right w:type="dxa" w:w="160"/>
            </w:tcMar>
          </w:tcPr>
          <w:p>
            <w:pPr>
              <w:spacing w:after="20" w:line="240"/>
              <w:jc w:val="center"/>
            </w:pPr>
            <w:r>
              <w:rPr>
                <w:sz w:val="19"/>
                <w:szCs w:val="19"/>
              </w:rPr>
              <w:t xml:space="preserve">6.3 ESCALATION</w:t>
            </w:r>
            <w:r>
              <w:rPr>
                <w:sz w:val="19"/>
                <w:szCs w:val="19"/>
              </w:rPr>
              <w:t xml:space="preserve"> — SEV-1/2: declare incident, assign IC, open channel, exec notification per matrix · SEV-3/4: queue to category owner · assess external notification clocks</w:t>
            </w:r>
          </w:p>
        </w:tc>
      </w:tr>
    </w:tbl>
    <w:p>
      <w:pPr>
        <w:spacing w:after="40" w:before="40"/>
        <w:jc w:val="center"/>
      </w:pPr>
      <w:r>
        <w:rPr>
          <w:color w:val="2E5496"/>
          <w:sz w:val="18"/>
          <w:szCs w:val="18"/>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EAF0F8" w:color="auto" w:val="clear"/>
            <w:tcMar>
              <w:top w:type="dxa" w:w="90"/>
              <w:left w:type="dxa" w:w="160"/>
              <w:bottom w:type="dxa" w:w="90"/>
              <w:right w:type="dxa" w:w="160"/>
            </w:tcMar>
          </w:tcPr>
          <w:p>
            <w:pPr>
              <w:spacing w:after="20" w:line="240"/>
              <w:jc w:val="center"/>
            </w:pPr>
            <w:r>
              <w:rPr>
                <w:sz w:val="19"/>
                <w:szCs w:val="19"/>
              </w:rPr>
              <w:t xml:space="preserve">6.4 CONTAINMENT</w:t>
            </w:r>
            <w:r>
              <w:rPr>
                <w:sz w:val="19"/>
                <w:szCs w:val="19"/>
              </w:rPr>
              <w:t xml:space="preserve"> — preserve behavioral snapshot BEFORE fixes · category playbook actions · escalate ladder until harm verifiably stopped (monitoring-confirmed)</w:t>
            </w:r>
          </w:p>
        </w:tc>
      </w:tr>
    </w:tbl>
    <w:p>
      <w:pPr>
        <w:spacing w:after="40" w:before="40"/>
        <w:jc w:val="center"/>
      </w:pPr>
      <w:r>
        <w:rPr>
          <w:color w:val="2E5496"/>
          <w:sz w:val="18"/>
          <w:szCs w:val="18"/>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EAF0F8" w:color="auto" w:val="clear"/>
            <w:tcMar>
              <w:top w:type="dxa" w:w="90"/>
              <w:left w:type="dxa" w:w="160"/>
              <w:bottom w:type="dxa" w:w="90"/>
              <w:right w:type="dxa" w:w="160"/>
            </w:tcMar>
          </w:tcPr>
          <w:p>
            <w:pPr>
              <w:spacing w:after="20" w:line="240"/>
              <w:jc w:val="center"/>
            </w:pPr>
            <w:r>
              <w:rPr>
                <w:sz w:val="19"/>
                <w:szCs w:val="19"/>
              </w:rPr>
              <w:t xml:space="preserve">6.5 RCA</w:t>
            </w:r>
            <w:r>
              <w:rPr>
                <w:sz w:val="19"/>
                <w:szCs w:val="19"/>
              </w:rPr>
              <w:t xml:space="preserve"> — contributing-factors analysis across data / model / prompt &amp; config / integration / human &amp; process · standing questions: why did evals and monitoring miss it?</w:t>
            </w:r>
          </w:p>
        </w:tc>
      </w:tr>
    </w:tbl>
    <w:p>
      <w:pPr>
        <w:spacing w:after="40" w:before="40"/>
        <w:jc w:val="center"/>
      </w:pPr>
      <w:r>
        <w:rPr>
          <w:color w:val="2E5496"/>
          <w:sz w:val="18"/>
          <w:szCs w:val="18"/>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EAF0F8" w:color="auto" w:val="clear"/>
            <w:tcMar>
              <w:top w:type="dxa" w:w="90"/>
              <w:left w:type="dxa" w:w="160"/>
              <w:bottom w:type="dxa" w:w="90"/>
              <w:right w:type="dxa" w:w="160"/>
            </w:tcMar>
          </w:tcPr>
          <w:p>
            <w:pPr>
              <w:spacing w:after="20" w:line="240"/>
              <w:jc w:val="center"/>
            </w:pPr>
            <w:r>
              <w:rPr>
                <w:sz w:val="19"/>
                <w:szCs w:val="19"/>
              </w:rPr>
              <w:t xml:space="preserve">6.6 REMEDIATION</w:t>
            </w:r>
            <w:r>
              <w:rPr>
                <w:sz w:val="19"/>
                <w:szCs w:val="19"/>
              </w:rPr>
              <w:t xml:space="preserve"> — instance, class, and program-level fixes · mandatory redeployment gate with incident-derived regression evals · observation window before closure</w:t>
            </w:r>
          </w:p>
        </w:tc>
      </w:tr>
    </w:tbl>
    <w:p>
      <w:pPr>
        <w:spacing w:after="40" w:before="40"/>
        <w:jc w:val="center"/>
      </w:pPr>
      <w:r>
        <w:rPr>
          <w:color w:val="2E5496"/>
          <w:sz w:val="18"/>
          <w:szCs w:val="18"/>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DDE7F5" w:color="auto" w:val="clear"/>
            <w:tcMar>
              <w:top w:type="dxa" w:w="90"/>
              <w:left w:type="dxa" w:w="160"/>
              <w:bottom w:type="dxa" w:w="90"/>
              <w:right w:type="dxa" w:w="160"/>
            </w:tcMar>
          </w:tcPr>
          <w:p>
            <w:pPr>
              <w:spacing w:after="20" w:line="240"/>
              <w:jc w:val="center"/>
            </w:pPr>
            <w:r>
              <w:rPr>
                <w:sz w:val="19"/>
                <w:szCs w:val="19"/>
              </w:rPr>
              <w:t xml:space="preserve">6.7 POST-INCIDENT REVIEW</w:t>
            </w:r>
            <w:r>
              <w:rPr>
                <w:sz w:val="19"/>
                <w:szCs w:val="19"/>
              </w:rPr>
              <w:t xml:space="preserve"> — blameless PIR → feedback loops: risk register · eval suites · monitoring thresholds · model documentation · policy &amp; SOP · tabletop scenarios (loops back into detection)</w:t>
            </w:r>
          </w:p>
        </w:tc>
      </w:tr>
    </w:tbl>
    <w:p>
      <w:pPr>
        <w:spacing w:after="160"/>
      </w:pPr>
    </w:p>
    <w:p>
      <w:pPr>
        <w:pStyle w:val="Heading2"/>
        <w:spacing w:after="120" w:before="260"/>
      </w:pPr>
      <w:r>
        <w:t xml:space="preserve">6.1 Detection &amp; Intake</w:t>
      </w:r>
    </w:p>
    <w:p>
      <w:pPr>
        <w:spacing w:after="120" w:line="276"/>
      </w:pPr>
      <w:r>
        <w:rPr>
          <w:b/>
          <w:bCs/>
        </w:rPr>
        <w:t xml:space="preserve">Objective:</w:t>
      </w:r>
      <w:r>
        <w:t xml:space="preserve"> every potential AI incident, from any source, lands in one queue as a structured record within minutes of detection.</w:t>
      </w:r>
    </w:p>
    <w:p>
      <w:pPr>
        <w:spacing w:after="120" w:line="276"/>
      </w:pPr>
      <w:r>
        <w:rPr>
          <w:b/>
          <w:bCs/>
        </w:rPr>
        <w:t xml:space="preserve">Detection channels: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3971"/>
        <w:gridCol w:w="3249"/>
      </w:tblGrid>
      <w:tr>
        <w:trPr>
          <w:tblHeader/>
        </w:trPr>
        <w:tc>
          <w:tcPr>
            <w:tcW w:type="dxa" w:w="1805"/>
            <w:shd w:fill="1F3864" w:color="auto" w:val="clear"/>
            <w:tcMar>
              <w:top w:type="dxa" w:w="60"/>
              <w:left w:type="dxa" w:w="80"/>
              <w:bottom w:type="dxa" w:w="60"/>
              <w:right w:type="dxa" w:w="80"/>
            </w:tcMar>
            <w:vAlign w:val="center"/>
          </w:tcPr>
          <w:p>
            <w:pPr>
              <w:spacing w:after="20" w:line="240"/>
            </w:pPr>
            <w:r>
              <w:rPr>
                <w:b/>
                <w:bCs/>
                <w:color w:val="FFFFFF"/>
                <w:sz w:val="18"/>
                <w:szCs w:val="18"/>
              </w:rPr>
              <w:t xml:space="preserve">Channel</w:t>
            </w:r>
          </w:p>
        </w:tc>
        <w:tc>
          <w:tcPr>
            <w:tcW w:type="dxa" w:w="3971"/>
            <w:shd w:fill="1F3864" w:color="auto" w:val="clear"/>
            <w:tcMar>
              <w:top w:type="dxa" w:w="60"/>
              <w:left w:type="dxa" w:w="80"/>
              <w:bottom w:type="dxa" w:w="60"/>
              <w:right w:type="dxa" w:w="80"/>
            </w:tcMar>
            <w:vAlign w:val="center"/>
          </w:tcPr>
          <w:p>
            <w:pPr>
              <w:spacing w:after="20" w:line="240"/>
            </w:pPr>
            <w:r>
              <w:rPr>
                <w:b/>
                <w:bCs/>
                <w:color w:val="FFFFFF"/>
                <w:sz w:val="18"/>
                <w:szCs w:val="18"/>
              </w:rPr>
              <w:t xml:space="preserve">Examples</w:t>
            </w:r>
          </w:p>
        </w:tc>
        <w:tc>
          <w:tcPr>
            <w:tcW w:type="dxa" w:w="3249"/>
            <w:shd w:fill="1F3864" w:color="auto" w:val="clear"/>
            <w:tcMar>
              <w:top w:type="dxa" w:w="60"/>
              <w:left w:type="dxa" w:w="80"/>
              <w:bottom w:type="dxa" w:w="60"/>
              <w:right w:type="dxa" w:w="80"/>
            </w:tcMar>
            <w:vAlign w:val="center"/>
          </w:tcPr>
          <w:p>
            <w:pPr>
              <w:spacing w:after="20" w:line="240"/>
            </w:pPr>
            <w:r>
              <w:rPr>
                <w:b/>
                <w:bCs/>
                <w:color w:val="FFFFFF"/>
                <w:sz w:val="18"/>
                <w:szCs w:val="18"/>
              </w:rPr>
              <w:t xml:space="preserve">Route</w:t>
            </w:r>
          </w:p>
        </w:tc>
      </w:tr>
      <w:tr>
        <w:tc>
          <w:tcPr>
            <w:tcW w:type="dxa" w:w="1805"/>
            <w:tcMar>
              <w:top w:type="dxa" w:w="50"/>
              <w:left w:type="dxa" w:w="80"/>
              <w:bottom w:type="dxa" w:w="50"/>
              <w:right w:type="dxa" w:w="80"/>
            </w:tcMar>
          </w:tcPr>
          <w:p>
            <w:pPr>
              <w:spacing w:after="20" w:line="240"/>
            </w:pPr>
            <w:r>
              <w:rPr>
                <w:sz w:val="18"/>
                <w:szCs w:val="18"/>
              </w:rPr>
              <w:t xml:space="preserve">Automated monitoring &amp; triage layer</w:t>
            </w:r>
            <w:r>
              <w:rPr>
                <w:sz w:val="18"/>
                <w:szCs w:val="18"/>
              </w:rPr>
              <w:t xml:space="preserve"> </w:t>
            </w:r>
            <w:r>
              <w:rPr>
                <w:i/>
                <w:iCs/>
                <w:sz w:val="18"/>
                <w:szCs w:val="18"/>
              </w:rPr>
              <w:t xml:space="preserve">(current implementation: Sentinel — Appendix E)</w:t>
            </w:r>
          </w:p>
        </w:tc>
        <w:tc>
          <w:tcPr>
            <w:tcW w:type="dxa" w:w="3971"/>
            <w:tcMar>
              <w:top w:type="dxa" w:w="50"/>
              <w:left w:type="dxa" w:w="80"/>
              <w:bottom w:type="dxa" w:w="50"/>
              <w:right w:type="dxa" w:w="80"/>
            </w:tcMar>
          </w:tcPr>
          <w:p>
            <w:pPr>
              <w:spacing w:after="20" w:line="240"/>
            </w:pPr>
            <w:r>
              <w:rPr>
                <w:sz w:val="18"/>
                <w:szCs w:val="18"/>
              </w:rPr>
              <w:t xml:space="preserve">Output-safety classifiers on ARIA; drift and score-distribution monitors on FALCON; anomaly detection on freeze/approval rates; guardrail-block spikes</w:t>
            </w:r>
          </w:p>
        </w:tc>
        <w:tc>
          <w:tcPr>
            <w:tcW w:type="dxa" w:w="3249"/>
            <w:tcMar>
              <w:top w:type="dxa" w:w="50"/>
              <w:left w:type="dxa" w:w="80"/>
              <w:bottom w:type="dxa" w:w="50"/>
              <w:right w:type="dxa" w:w="80"/>
            </w:tcMar>
          </w:tcPr>
          <w:p>
            <w:pPr>
              <w:spacing w:after="20" w:line="240"/>
            </w:pPr>
            <w:r>
              <w:rPr>
                <w:sz w:val="18"/>
                <w:szCs w:val="18"/>
              </w:rPr>
              <w:t xml:space="preserve">Auto-creates intake record with telemetry attached; high-confidence detections page directly</w:t>
            </w:r>
          </w:p>
        </w:tc>
      </w:tr>
      <w:tr>
        <w:tc>
          <w:tcPr>
            <w:tcW w:type="dxa" w:w="1805"/>
            <w:shd w:fill="F2F6FB" w:color="auto" w:val="clear"/>
            <w:tcMar>
              <w:top w:type="dxa" w:w="50"/>
              <w:left w:type="dxa" w:w="80"/>
              <w:bottom w:type="dxa" w:w="50"/>
              <w:right w:type="dxa" w:w="80"/>
            </w:tcMar>
          </w:tcPr>
          <w:p>
            <w:pPr>
              <w:spacing w:after="20" w:line="240"/>
            </w:pPr>
            <w:r>
              <w:rPr>
                <w:sz w:val="18"/>
                <w:szCs w:val="18"/>
              </w:rPr>
              <w:t xml:space="preserve">User reports</w:t>
            </w:r>
          </w:p>
        </w:tc>
        <w:tc>
          <w:tcPr>
            <w:tcW w:type="dxa" w:w="3971"/>
            <w:shd w:fill="F2F6FB" w:color="auto" w:val="clear"/>
            <w:tcMar>
              <w:top w:type="dxa" w:w="50"/>
              <w:left w:type="dxa" w:w="80"/>
              <w:bottom w:type="dxa" w:w="50"/>
              <w:right w:type="dxa" w:w="80"/>
            </w:tcMar>
          </w:tcPr>
          <w:p>
            <w:pPr>
              <w:spacing w:after="20" w:line="240"/>
            </w:pPr>
            <w:r>
              <w:rPr>
                <w:sz w:val="18"/>
                <w:szCs w:val="18"/>
              </w:rPr>
              <w:t xml:space="preserve">Support tickets, in-product “report this response” on ARIA, appeal volumes</w:t>
            </w:r>
          </w:p>
        </w:tc>
        <w:tc>
          <w:tcPr>
            <w:tcW w:type="dxa" w:w="3249"/>
            <w:shd w:fill="F2F6FB" w:color="auto" w:val="clear"/>
            <w:tcMar>
              <w:top w:type="dxa" w:w="50"/>
              <w:left w:type="dxa" w:w="80"/>
              <w:bottom w:type="dxa" w:w="50"/>
              <w:right w:type="dxa" w:w="80"/>
            </w:tcMar>
          </w:tcPr>
          <w:p>
            <w:pPr>
              <w:spacing w:after="20" w:line="240"/>
            </w:pPr>
            <w:r>
              <w:rPr>
                <w:sz w:val="18"/>
                <w:szCs w:val="18"/>
              </w:rPr>
              <w:t xml:space="preserve">Support triage flags AI-suspect tickets via macro; clusters auto-escalate</w:t>
            </w:r>
          </w:p>
        </w:tc>
      </w:tr>
      <w:tr>
        <w:tc>
          <w:tcPr>
            <w:tcW w:type="dxa" w:w="1805"/>
            <w:tcMar>
              <w:top w:type="dxa" w:w="50"/>
              <w:left w:type="dxa" w:w="80"/>
              <w:bottom w:type="dxa" w:w="50"/>
              <w:right w:type="dxa" w:w="80"/>
            </w:tcMar>
          </w:tcPr>
          <w:p>
            <w:pPr>
              <w:spacing w:after="20" w:line="240"/>
            </w:pPr>
            <w:r>
              <w:rPr>
                <w:sz w:val="18"/>
                <w:szCs w:val="18"/>
              </w:rPr>
              <w:t xml:space="preserve">Internal</w:t>
            </w:r>
          </w:p>
        </w:tc>
        <w:tc>
          <w:tcPr>
            <w:tcW w:type="dxa" w:w="3971"/>
            <w:tcMar>
              <w:top w:type="dxa" w:w="50"/>
              <w:left w:type="dxa" w:w="80"/>
              <w:bottom w:type="dxa" w:w="50"/>
              <w:right w:type="dxa" w:w="80"/>
            </w:tcMar>
          </w:tcPr>
          <w:p>
            <w:pPr>
              <w:spacing w:after="20" w:line="240"/>
            </w:pPr>
            <w:r>
              <w:rPr>
                <w:sz w:val="18"/>
                <w:szCs w:val="18"/>
              </w:rPr>
              <w:t xml:space="preserve">Red-team findings, employee reports, canary/eval failures, pre-deploy checks</w:t>
            </w:r>
          </w:p>
        </w:tc>
        <w:tc>
          <w:tcPr>
            <w:tcW w:type="dxa" w:w="3249"/>
            <w:tcMar>
              <w:top w:type="dxa" w:w="50"/>
              <w:left w:type="dxa" w:w="80"/>
              <w:bottom w:type="dxa" w:w="50"/>
              <w:right w:type="dxa" w:w="80"/>
            </w:tcMar>
          </w:tcPr>
          <w:p>
            <w:pPr>
              <w:spacing w:after="20" w:line="240"/>
            </w:pPr>
            <w:r>
              <w:rPr>
                <w:sz w:val="18"/>
                <w:szCs w:val="18"/>
              </w:rPr>
              <w:t xml:space="preserve">Direct intake form</w:t>
            </w:r>
          </w:p>
        </w:tc>
      </w:tr>
      <w:tr>
        <w:tc>
          <w:tcPr>
            <w:tcW w:type="dxa" w:w="1805"/>
            <w:shd w:fill="F2F6FB" w:color="auto" w:val="clear"/>
            <w:tcMar>
              <w:top w:type="dxa" w:w="50"/>
              <w:left w:type="dxa" w:w="80"/>
              <w:bottom w:type="dxa" w:w="50"/>
              <w:right w:type="dxa" w:w="80"/>
            </w:tcMar>
          </w:tcPr>
          <w:p>
            <w:pPr>
              <w:spacing w:after="20" w:line="240"/>
            </w:pPr>
            <w:r>
              <w:rPr>
                <w:sz w:val="18"/>
                <w:szCs w:val="18"/>
              </w:rPr>
              <w:t xml:space="preserve">External</w:t>
            </w:r>
          </w:p>
        </w:tc>
        <w:tc>
          <w:tcPr>
            <w:tcW w:type="dxa" w:w="3971"/>
            <w:shd w:fill="F2F6FB" w:color="auto" w:val="clear"/>
            <w:tcMar>
              <w:top w:type="dxa" w:w="50"/>
              <w:left w:type="dxa" w:w="80"/>
              <w:bottom w:type="dxa" w:w="50"/>
              <w:right w:type="dxa" w:w="80"/>
            </w:tcMar>
          </w:tcPr>
          <w:p>
            <w:pPr>
              <w:spacing w:after="20" w:line="240"/>
            </w:pPr>
            <w:r>
              <w:rPr>
                <w:sz w:val="18"/>
                <w:szCs w:val="18"/>
              </w:rPr>
              <w:t xml:space="preserve">Security researchers (disclosure program), vendor notifications (contractually required for C7 — see §6.3), regulators, media, social monitoring</w:t>
            </w:r>
          </w:p>
        </w:tc>
        <w:tc>
          <w:tcPr>
            <w:tcW w:type="dxa" w:w="3249"/>
            <w:shd w:fill="F2F6FB" w:color="auto" w:val="clear"/>
            <w:tcMar>
              <w:top w:type="dxa" w:w="50"/>
              <w:left w:type="dxa" w:w="80"/>
              <w:bottom w:type="dxa" w:w="50"/>
              <w:right w:type="dxa" w:w="80"/>
            </w:tcMar>
          </w:tcPr>
          <w:p>
            <w:pPr>
              <w:spacing w:after="20" w:line="240"/>
            </w:pPr>
            <w:r>
              <w:rPr>
                <w:sz w:val="18"/>
                <w:szCs w:val="18"/>
              </w:rPr>
              <w:t xml:space="preserve">On-call IC creates record; external-origin incidents start triage at elevated priority</w:t>
            </w:r>
          </w:p>
        </w:tc>
      </w:tr>
    </w:tbl>
    <w:p>
      <w:pPr>
        <w:spacing w:after="120"/>
      </w:pPr>
    </w:p>
    <w:p>
      <w:pPr>
        <w:spacing w:after="120" w:line="276"/>
      </w:pPr>
      <w:r>
        <w:rPr>
          <w:b/>
          <w:bCs/>
        </w:rPr>
        <w:t xml:space="preserve">Intake record minimum fields:</w:t>
      </w:r>
      <w:r>
        <w:t xml:space="preserve"> detection source and time; affected system(s) and version identifiers; observed behavior (verbatim where possible); scope indicators (users affected, ongoing?); reporter contact; initial evidence links. </w:t>
      </w:r>
      <w:r>
        <w:rPr>
          <w:i/>
          <w:iCs/>
        </w:rPr>
        <w:t xml:space="preserve">(Template: Appendix A, section 1.)</w:t>
      </w:r>
    </w:p>
    <w:p>
      <w:pPr>
        <w:spacing w:after="120" w:line="276"/>
      </w:pPr>
      <w:r>
        <w:rPr>
          <w:b/>
          <w:bCs/>
        </w:rPr>
        <w:t xml:space="preserve">Discipline that makes this work:</w:t>
      </w:r>
    </w:p>
    <w:p>
      <w:pPr>
        <w:pStyle w:val="ListParagraph"/>
        <w:numPr>
          <w:ilvl w:val="0"/>
          <w:numId w:val="2"/>
        </w:numPr>
        <w:spacing w:after="80" w:line="276"/>
      </w:pPr>
      <w:r>
        <w:rPr>
          <w:b/>
          <w:bCs/>
        </w:rPr>
        <w:t xml:space="preserve">One queue.</w:t>
      </w:r>
      <w:r>
        <w:t xml:space="preserve"> AI-suspect signals from support, security, and monitoring converge into a single intake view — fragmented intake is the leading cause of late detection of slow-burn incidents (bias, drift, quiet abuse).</w:t>
      </w:r>
    </w:p>
    <w:p>
      <w:pPr>
        <w:pStyle w:val="ListParagraph"/>
        <w:numPr>
          <w:ilvl w:val="0"/>
          <w:numId w:val="2"/>
        </w:numPr>
        <w:spacing w:after="80" w:line="276"/>
      </w:pPr>
      <w:r>
        <w:rPr>
          <w:b/>
          <w:bCs/>
        </w:rPr>
        <w:t xml:space="preserve">Low reporting friction, no reporting penalty.</w:t>
      </w:r>
      <w:r>
        <w:t xml:space="preserve"> Anyone at Meridian can file in under two minutes. False alarms are explicitly welcomed and never criticized; the near-miss reviews (§6.7) reinforce this.</w:t>
      </w:r>
    </w:p>
    <w:p>
      <w:pPr>
        <w:pStyle w:val="ListParagraph"/>
        <w:numPr>
          <w:ilvl w:val="0"/>
          <w:numId w:val="2"/>
        </w:numPr>
        <w:spacing w:after="80" w:line="276"/>
      </w:pPr>
      <w:r>
        <w:rPr>
          <w:b/>
          <w:bCs/>
        </w:rPr>
        <w:t xml:space="preserve">Immediate evidence capture.</w:t>
      </w:r>
      <w:r>
        <w:t xml:space="preserve"> The intake step triggers the behavioral snapshot (§6.4) </w:t>
      </w:r>
      <w:r>
        <w:rPr>
          <w:i/>
          <w:iCs/>
        </w:rPr>
        <w:t xml:space="preserve">before</w:t>
      </w:r>
      <w:r>
        <w:t xml:space="preserve"> anyone attempts fixes — AI behavior is often non-deterministic and version-dependent; evidence not captured at detection may be unreproducible after a config change or vendor update.</w:t>
      </w:r>
    </w:p>
    <w:p>
      <w:pPr>
        <w:pStyle w:val="Heading2"/>
        <w:spacing w:after="120" w:before="260"/>
      </w:pPr>
      <w:r>
        <w:t xml:space="preserve">6.2 Triage &amp; Severity Assignment</w:t>
      </w:r>
    </w:p>
    <w:p>
      <w:pPr>
        <w:spacing w:after="120" w:line="276"/>
      </w:pPr>
      <w:r>
        <w:rPr>
          <w:b/>
          <w:bCs/>
        </w:rPr>
        <w:t xml:space="preserve">Objective:</w:t>
      </w:r>
      <w:r>
        <w:t xml:space="preserve"> within SLA, answer four questions and route accordingly.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2"/>
        <w:gridCol w:w="3249"/>
        <w:gridCol w:w="5235"/>
      </w:tblGrid>
      <w:tr>
        <w:trPr>
          <w:tblHeader/>
        </w:trPr>
        <w:tc>
          <w:tcPr>
            <w:tcW w:type="dxa" w:w="542"/>
            <w:shd w:fill="1F3864" w:color="auto" w:val="clear"/>
            <w:tcMar>
              <w:top w:type="dxa" w:w="60"/>
              <w:left w:type="dxa" w:w="80"/>
              <w:bottom w:type="dxa" w:w="60"/>
              <w:right w:type="dxa" w:w="80"/>
            </w:tcMar>
            <w:vAlign w:val="center"/>
          </w:tcPr>
          <w:p>
            <w:pPr>
              <w:spacing w:after="20" w:line="240"/>
              <w:jc w:val="center"/>
            </w:pPr>
            <w:r>
              <w:rPr>
                <w:b/>
                <w:bCs/>
                <w:color w:val="FFFFFF"/>
                <w:sz w:val="18"/>
                <w:szCs w:val="18"/>
              </w:rPr>
              <w:t xml:space="preserve">#</w:t>
            </w:r>
          </w:p>
        </w:tc>
        <w:tc>
          <w:tcPr>
            <w:tcW w:type="dxa" w:w="3249"/>
            <w:shd w:fill="1F3864" w:color="auto" w:val="clear"/>
            <w:tcMar>
              <w:top w:type="dxa" w:w="60"/>
              <w:left w:type="dxa" w:w="80"/>
              <w:bottom w:type="dxa" w:w="60"/>
              <w:right w:type="dxa" w:w="80"/>
            </w:tcMar>
            <w:vAlign w:val="center"/>
          </w:tcPr>
          <w:p>
            <w:pPr>
              <w:spacing w:after="20" w:line="240"/>
            </w:pPr>
            <w:r>
              <w:rPr>
                <w:b/>
                <w:bCs/>
                <w:color w:val="FFFFFF"/>
                <w:sz w:val="18"/>
                <w:szCs w:val="18"/>
              </w:rPr>
              <w:t xml:space="preserve">Question</w:t>
            </w:r>
          </w:p>
        </w:tc>
        <w:tc>
          <w:tcPr>
            <w:tcW w:type="dxa" w:w="5235"/>
            <w:shd w:fill="1F3864" w:color="auto" w:val="clear"/>
            <w:tcMar>
              <w:top w:type="dxa" w:w="60"/>
              <w:left w:type="dxa" w:w="80"/>
              <w:bottom w:type="dxa" w:w="60"/>
              <w:right w:type="dxa" w:w="80"/>
            </w:tcMar>
            <w:vAlign w:val="center"/>
          </w:tcPr>
          <w:p>
            <w:pPr>
              <w:spacing w:after="20" w:line="240"/>
            </w:pPr>
            <w:r>
              <w:rPr>
                <w:b/>
                <w:bCs/>
                <w:color w:val="FFFFFF"/>
                <w:sz w:val="18"/>
                <w:szCs w:val="18"/>
              </w:rPr>
              <w:t xml:space="preserve">Output</w:t>
            </w:r>
          </w:p>
        </w:tc>
      </w:tr>
      <w:tr>
        <w:tc>
          <w:tcPr>
            <w:tcW w:type="dxa" w:w="542"/>
            <w:tcMar>
              <w:top w:type="dxa" w:w="50"/>
              <w:left w:type="dxa" w:w="80"/>
              <w:bottom w:type="dxa" w:w="50"/>
              <w:right w:type="dxa" w:w="80"/>
            </w:tcMar>
          </w:tcPr>
          <w:p>
            <w:pPr>
              <w:spacing w:after="20" w:line="240"/>
              <w:jc w:val="center"/>
            </w:pPr>
            <w:r>
              <w:rPr>
                <w:sz w:val="18"/>
                <w:szCs w:val="18"/>
              </w:rPr>
              <w:t xml:space="preserve">1</w:t>
            </w:r>
          </w:p>
        </w:tc>
        <w:tc>
          <w:tcPr>
            <w:tcW w:type="dxa" w:w="3249"/>
            <w:tcMar>
              <w:top w:type="dxa" w:w="50"/>
              <w:left w:type="dxa" w:w="80"/>
              <w:bottom w:type="dxa" w:w="50"/>
              <w:right w:type="dxa" w:w="80"/>
            </w:tcMar>
          </w:tcPr>
          <w:p>
            <w:pPr>
              <w:spacing w:after="20" w:line="240"/>
            </w:pPr>
            <w:r>
              <w:rPr>
                <w:sz w:val="18"/>
                <w:szCs w:val="18"/>
              </w:rPr>
              <w:t xml:space="preserve">Is an AI system in the causal chain?</w:t>
            </w:r>
          </w:p>
        </w:tc>
        <w:tc>
          <w:tcPr>
            <w:tcW w:type="dxa" w:w="5235"/>
            <w:tcMar>
              <w:top w:type="dxa" w:w="50"/>
              <w:left w:type="dxa" w:w="80"/>
              <w:bottom w:type="dxa" w:w="50"/>
              <w:right w:type="dxa" w:w="80"/>
            </w:tcMar>
          </w:tcPr>
          <w:p>
            <w:pPr>
              <w:spacing w:after="20" w:line="240"/>
            </w:pPr>
            <w:r>
              <w:rPr>
                <w:sz w:val="18"/>
                <w:szCs w:val="18"/>
              </w:rPr>
              <w:t xml:space="preserve">If no → standard IR/support routing. If unclear → treat as yes until shown otherwise</w:t>
            </w:r>
          </w:p>
        </w:tc>
      </w:tr>
      <w:tr>
        <w:tc>
          <w:tcPr>
            <w:tcW w:type="dxa" w:w="542"/>
            <w:shd w:fill="F2F6FB" w:color="auto" w:val="clear"/>
            <w:tcMar>
              <w:top w:type="dxa" w:w="50"/>
              <w:left w:type="dxa" w:w="80"/>
              <w:bottom w:type="dxa" w:w="50"/>
              <w:right w:type="dxa" w:w="80"/>
            </w:tcMar>
          </w:tcPr>
          <w:p>
            <w:pPr>
              <w:spacing w:after="20" w:line="240"/>
              <w:jc w:val="center"/>
            </w:pPr>
            <w:r>
              <w:rPr>
                <w:sz w:val="18"/>
                <w:szCs w:val="18"/>
              </w:rPr>
              <w:t xml:space="preserve">2</w:t>
            </w:r>
          </w:p>
        </w:tc>
        <w:tc>
          <w:tcPr>
            <w:tcW w:type="dxa" w:w="3249"/>
            <w:shd w:fill="F2F6FB" w:color="auto" w:val="clear"/>
            <w:tcMar>
              <w:top w:type="dxa" w:w="50"/>
              <w:left w:type="dxa" w:w="80"/>
              <w:bottom w:type="dxa" w:w="50"/>
              <w:right w:type="dxa" w:w="80"/>
            </w:tcMar>
          </w:tcPr>
          <w:p>
            <w:pPr>
              <w:spacing w:after="20" w:line="240"/>
            </w:pPr>
            <w:r>
              <w:rPr>
                <w:sz w:val="18"/>
                <w:szCs w:val="18"/>
              </w:rPr>
              <w:t xml:space="preserve">What is the primary harm vector?</w:t>
            </w:r>
          </w:p>
        </w:tc>
        <w:tc>
          <w:tcPr>
            <w:tcW w:type="dxa" w:w="5235"/>
            <w:shd w:fill="F2F6FB" w:color="auto" w:val="clear"/>
            <w:tcMar>
              <w:top w:type="dxa" w:w="50"/>
              <w:left w:type="dxa" w:w="80"/>
              <w:bottom w:type="dxa" w:w="50"/>
              <w:right w:type="dxa" w:w="80"/>
            </w:tcMar>
          </w:tcPr>
          <w:p>
            <w:pPr>
              <w:spacing w:after="20" w:line="240"/>
            </w:pPr>
            <w:r>
              <w:rPr>
                <w:sz w:val="18"/>
                <w:szCs w:val="18"/>
              </w:rPr>
              <w:t xml:space="preserve">Category C1–C7 (+ secondary tags)</w:t>
            </w:r>
          </w:p>
        </w:tc>
      </w:tr>
      <w:tr>
        <w:tc>
          <w:tcPr>
            <w:tcW w:type="dxa" w:w="542"/>
            <w:tcMar>
              <w:top w:type="dxa" w:w="50"/>
              <w:left w:type="dxa" w:w="80"/>
              <w:bottom w:type="dxa" w:w="50"/>
              <w:right w:type="dxa" w:w="80"/>
            </w:tcMar>
          </w:tcPr>
          <w:p>
            <w:pPr>
              <w:spacing w:after="20" w:line="240"/>
              <w:jc w:val="center"/>
            </w:pPr>
            <w:r>
              <w:rPr>
                <w:sz w:val="18"/>
                <w:szCs w:val="18"/>
              </w:rPr>
              <w:t xml:space="preserve">3</w:t>
            </w:r>
          </w:p>
        </w:tc>
        <w:tc>
          <w:tcPr>
            <w:tcW w:type="dxa" w:w="3249"/>
            <w:tcMar>
              <w:top w:type="dxa" w:w="50"/>
              <w:left w:type="dxa" w:w="80"/>
              <w:bottom w:type="dxa" w:w="50"/>
              <w:right w:type="dxa" w:w="80"/>
            </w:tcMar>
          </w:tcPr>
          <w:p>
            <w:pPr>
              <w:spacing w:after="20" w:line="240"/>
            </w:pPr>
            <w:r>
              <w:rPr>
                <w:sz w:val="18"/>
                <w:szCs w:val="18"/>
              </w:rPr>
              <w:t xml:space="preserve">How bad is it, and is it ongoing?</w:t>
            </w:r>
          </w:p>
        </w:tc>
        <w:tc>
          <w:tcPr>
            <w:tcW w:type="dxa" w:w="5235"/>
            <w:tcMar>
              <w:top w:type="dxa" w:w="50"/>
              <w:left w:type="dxa" w:w="80"/>
              <w:bottom w:type="dxa" w:w="50"/>
              <w:right w:type="dxa" w:w="80"/>
            </w:tcMar>
          </w:tcPr>
          <w:p>
            <w:pPr>
              <w:spacing w:after="20" w:line="240"/>
            </w:pPr>
            <w:r>
              <w:rPr>
                <w:sz w:val="18"/>
                <w:szCs w:val="18"/>
              </w:rPr>
              <w:t xml:space="preserve">Severity per §5.2, applying default-up and ongoing-exposure rules</w:t>
            </w:r>
          </w:p>
        </w:tc>
      </w:tr>
      <w:tr>
        <w:tc>
          <w:tcPr>
            <w:tcW w:type="dxa" w:w="542"/>
            <w:shd w:fill="F2F6FB" w:color="auto" w:val="clear"/>
            <w:tcMar>
              <w:top w:type="dxa" w:w="50"/>
              <w:left w:type="dxa" w:w="80"/>
              <w:bottom w:type="dxa" w:w="50"/>
              <w:right w:type="dxa" w:w="80"/>
            </w:tcMar>
          </w:tcPr>
          <w:p>
            <w:pPr>
              <w:spacing w:after="20" w:line="240"/>
              <w:jc w:val="center"/>
            </w:pPr>
            <w:r>
              <w:rPr>
                <w:sz w:val="18"/>
                <w:szCs w:val="18"/>
              </w:rPr>
              <w:t xml:space="preserve">4</w:t>
            </w:r>
          </w:p>
        </w:tc>
        <w:tc>
          <w:tcPr>
            <w:tcW w:type="dxa" w:w="3249"/>
            <w:shd w:fill="F2F6FB" w:color="auto" w:val="clear"/>
            <w:tcMar>
              <w:top w:type="dxa" w:w="50"/>
              <w:left w:type="dxa" w:w="80"/>
              <w:bottom w:type="dxa" w:w="50"/>
              <w:right w:type="dxa" w:w="80"/>
            </w:tcMar>
          </w:tcPr>
          <w:p>
            <w:pPr>
              <w:spacing w:after="20" w:line="240"/>
            </w:pPr>
            <w:r>
              <w:rPr>
                <w:sz w:val="18"/>
                <w:szCs w:val="18"/>
              </w:rPr>
              <w:t xml:space="preserve">Is this one instance or a class?</w:t>
            </w:r>
          </w:p>
        </w:tc>
        <w:tc>
          <w:tcPr>
            <w:tcW w:type="dxa" w:w="5235"/>
            <w:shd w:fill="F2F6FB" w:color="auto" w:val="clear"/>
            <w:tcMar>
              <w:top w:type="dxa" w:w="50"/>
              <w:left w:type="dxa" w:w="80"/>
              <w:bottom w:type="dxa" w:w="50"/>
              <w:right w:type="dxa" w:w="80"/>
            </w:tcMar>
          </w:tcPr>
          <w:p>
            <w:pPr>
              <w:spacing w:after="20" w:line="240"/>
            </w:pPr>
            <w:r>
              <w:rPr>
                <w:sz w:val="18"/>
                <w:szCs w:val="18"/>
              </w:rPr>
              <w:t xml:space="preserve">Scope estimate: an LLM producing one bad output has usually produced others — triage searches logs for the </w:t>
            </w:r>
            <w:r>
              <w:rPr>
                <w:i/>
                <w:iCs/>
                <w:sz w:val="18"/>
                <w:szCs w:val="18"/>
              </w:rPr>
              <w:t xml:space="preserve">pattern</w:t>
            </w:r>
            <w:r>
              <w:rPr>
                <w:sz w:val="18"/>
                <w:szCs w:val="18"/>
              </w:rPr>
              <w:t xml:space="preserve">, not the </w:t>
            </w:r>
            <w:r>
              <w:rPr>
                <w:i/>
                <w:iCs/>
                <w:sz w:val="18"/>
                <w:szCs w:val="18"/>
              </w:rPr>
              <w:t xml:space="preserve">example</w:t>
            </w:r>
          </w:p>
        </w:tc>
      </w:tr>
    </w:tbl>
    <w:p>
      <w:pPr>
        <w:spacing w:after="120"/>
      </w:pPr>
    </w:p>
    <w:p>
      <w:pPr>
        <w:spacing w:after="120" w:line="276"/>
      </w:pPr>
      <w:r>
        <w:rPr>
          <w:b/>
          <w:bCs/>
        </w:rPr>
        <w:t xml:space="preserve">Triage SLAs: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694"/>
        <w:gridCol w:w="1805"/>
        <w:gridCol w:w="2527"/>
      </w:tblGrid>
      <w:tr>
        <w:trPr>
          <w:tblHeader/>
        </w:trPr>
        <w:tc>
          <w:tcPr>
            <w:tcW w:type="dxa" w:w="4694"/>
            <w:shd w:fill="1F3864" w:color="auto" w:val="clear"/>
            <w:tcMar>
              <w:top w:type="dxa" w:w="60"/>
              <w:left w:type="dxa" w:w="80"/>
              <w:bottom w:type="dxa" w:w="60"/>
              <w:right w:type="dxa" w:w="80"/>
            </w:tcMar>
            <w:vAlign w:val="center"/>
          </w:tcPr>
          <w:p>
            <w:pPr>
              <w:spacing w:after="20" w:line="240"/>
            </w:pPr>
            <w:r>
              <w:rPr>
                <w:b/>
                <w:bCs/>
                <w:color w:val="FFFFFF"/>
                <w:sz w:val="18"/>
                <w:szCs w:val="18"/>
              </w:rPr>
              <w:t xml:space="preserve">Signal priority</w:t>
            </w:r>
          </w:p>
        </w:tc>
        <w:tc>
          <w:tcPr>
            <w:tcW w:type="dxa" w:w="1805"/>
            <w:shd w:fill="1F3864" w:color="auto" w:val="clear"/>
            <w:tcMar>
              <w:top w:type="dxa" w:w="60"/>
              <w:left w:type="dxa" w:w="80"/>
              <w:bottom w:type="dxa" w:w="60"/>
              <w:right w:type="dxa" w:w="80"/>
            </w:tcMar>
            <w:vAlign w:val="center"/>
          </w:tcPr>
          <w:p>
            <w:pPr>
              <w:spacing w:after="20" w:line="240"/>
              <w:jc w:val="center"/>
            </w:pPr>
            <w:r>
              <w:rPr>
                <w:b/>
                <w:bCs/>
                <w:color w:val="FFFFFF"/>
                <w:sz w:val="18"/>
                <w:szCs w:val="18"/>
              </w:rPr>
              <w:t xml:space="preserve">Acknowledge</w:t>
            </w:r>
          </w:p>
        </w:tc>
        <w:tc>
          <w:tcPr>
            <w:tcW w:type="dxa" w:w="2527"/>
            <w:shd w:fill="1F3864" w:color="auto" w:val="clear"/>
            <w:tcMar>
              <w:top w:type="dxa" w:w="60"/>
              <w:left w:type="dxa" w:w="80"/>
              <w:bottom w:type="dxa" w:w="60"/>
              <w:right w:type="dxa" w:w="80"/>
            </w:tcMar>
            <w:vAlign w:val="center"/>
          </w:tcPr>
          <w:p>
            <w:pPr>
              <w:spacing w:after="20" w:line="240"/>
              <w:jc w:val="center"/>
            </w:pPr>
            <w:r>
              <w:rPr>
                <w:b/>
                <w:bCs/>
                <w:color w:val="FFFFFF"/>
                <w:sz w:val="18"/>
                <w:szCs w:val="18"/>
              </w:rPr>
              <w:t xml:space="preserve">Classify &amp; route</w:t>
            </w:r>
          </w:p>
        </w:tc>
      </w:tr>
      <w:tr>
        <w:tc>
          <w:tcPr>
            <w:tcW w:type="dxa" w:w="4694"/>
            <w:tcMar>
              <w:top w:type="dxa" w:w="50"/>
              <w:left w:type="dxa" w:w="80"/>
              <w:bottom w:type="dxa" w:w="50"/>
              <w:right w:type="dxa" w:w="80"/>
            </w:tcMar>
          </w:tcPr>
          <w:p>
            <w:pPr>
              <w:spacing w:after="20" w:line="240"/>
            </w:pPr>
            <w:r>
              <w:rPr>
                <w:sz w:val="18"/>
                <w:szCs w:val="18"/>
              </w:rPr>
              <w:t xml:space="preserve">Paged (automated high-confidence, or external regulator/media)</w:t>
            </w:r>
          </w:p>
        </w:tc>
        <w:tc>
          <w:tcPr>
            <w:tcW w:type="dxa" w:w="1805"/>
            <w:tcMar>
              <w:top w:type="dxa" w:w="50"/>
              <w:left w:type="dxa" w:w="80"/>
              <w:bottom w:type="dxa" w:w="50"/>
              <w:right w:type="dxa" w:w="80"/>
            </w:tcMar>
          </w:tcPr>
          <w:p>
            <w:pPr>
              <w:spacing w:after="20" w:line="240"/>
              <w:jc w:val="center"/>
            </w:pPr>
            <w:r>
              <w:rPr>
                <w:sz w:val="18"/>
                <w:szCs w:val="18"/>
              </w:rPr>
              <w:t xml:space="preserve">15 min</w:t>
            </w:r>
          </w:p>
        </w:tc>
        <w:tc>
          <w:tcPr>
            <w:tcW w:type="dxa" w:w="2527"/>
            <w:tcMar>
              <w:top w:type="dxa" w:w="50"/>
              <w:left w:type="dxa" w:w="80"/>
              <w:bottom w:type="dxa" w:w="50"/>
              <w:right w:type="dxa" w:w="80"/>
            </w:tcMar>
          </w:tcPr>
          <w:p>
            <w:pPr>
              <w:spacing w:after="20" w:line="240"/>
              <w:jc w:val="center"/>
            </w:pPr>
            <w:r>
              <w:rPr>
                <w:sz w:val="18"/>
                <w:szCs w:val="18"/>
              </w:rPr>
              <w:t xml:space="preserve">1 h</w:t>
            </w:r>
          </w:p>
        </w:tc>
      </w:tr>
      <w:tr>
        <w:tc>
          <w:tcPr>
            <w:tcW w:type="dxa" w:w="4694"/>
            <w:shd w:fill="F2F6FB" w:color="auto" w:val="clear"/>
            <w:tcMar>
              <w:top w:type="dxa" w:w="50"/>
              <w:left w:type="dxa" w:w="80"/>
              <w:bottom w:type="dxa" w:w="50"/>
              <w:right w:type="dxa" w:w="80"/>
            </w:tcMar>
          </w:tcPr>
          <w:p>
            <w:pPr>
              <w:spacing w:after="20" w:line="240"/>
            </w:pPr>
            <w:r>
              <w:rPr>
                <w:sz w:val="18"/>
                <w:szCs w:val="18"/>
              </w:rPr>
              <w:t xml:space="preserve">Standard queue</w:t>
            </w:r>
          </w:p>
        </w:tc>
        <w:tc>
          <w:tcPr>
            <w:tcW w:type="dxa" w:w="1805"/>
            <w:shd w:fill="F2F6FB" w:color="auto" w:val="clear"/>
            <w:tcMar>
              <w:top w:type="dxa" w:w="50"/>
              <w:left w:type="dxa" w:w="80"/>
              <w:bottom w:type="dxa" w:w="50"/>
              <w:right w:type="dxa" w:w="80"/>
            </w:tcMar>
          </w:tcPr>
          <w:p>
            <w:pPr>
              <w:spacing w:after="20" w:line="240"/>
              <w:jc w:val="center"/>
            </w:pPr>
            <w:r>
              <w:rPr>
                <w:sz w:val="18"/>
                <w:szCs w:val="18"/>
              </w:rPr>
              <w:t xml:space="preserve">4 h</w:t>
            </w:r>
          </w:p>
        </w:tc>
        <w:tc>
          <w:tcPr>
            <w:tcW w:type="dxa" w:w="2527"/>
            <w:shd w:fill="F2F6FB" w:color="auto" w:val="clear"/>
            <w:tcMar>
              <w:top w:type="dxa" w:w="50"/>
              <w:left w:type="dxa" w:w="80"/>
              <w:bottom w:type="dxa" w:w="50"/>
              <w:right w:type="dxa" w:w="80"/>
            </w:tcMar>
          </w:tcPr>
          <w:p>
            <w:pPr>
              <w:spacing w:after="20" w:line="240"/>
              <w:jc w:val="center"/>
            </w:pPr>
            <w:r>
              <w:rPr>
                <w:sz w:val="18"/>
                <w:szCs w:val="18"/>
              </w:rPr>
              <w:t xml:space="preserve">1 business day</w:t>
            </w:r>
          </w:p>
        </w:tc>
      </w:tr>
    </w:tbl>
    <w:p>
      <w:pPr>
        <w:spacing w:after="120"/>
      </w:pPr>
    </w:p>
    <w:p>
      <w:pPr>
        <w:spacing w:after="120" w:line="276"/>
      </w:pPr>
      <w:r>
        <w:rPr>
          <w:b/>
          <w:bCs/>
        </w:rPr>
        <w:t xml:space="preserve">Triage dispositions.</w:t>
      </w:r>
      <w:r>
        <w:t xml:space="preserve"> Not every candidate becomes an incident. Candidates that fail question 1, or where no incident is found, are closed at triage with an explicit disposition: </w:t>
      </w:r>
      <w:r>
        <w:rPr>
          <w:b/>
          <w:bCs/>
        </w:rPr>
        <w:t xml:space="preserve">Rejected</w:t>
      </w:r>
      <w:r>
        <w:t xml:space="preserve"> (not an incident — e.g., human error unrelated to any AI system), </w:t>
      </w:r>
      <w:r>
        <w:rPr>
          <w:b/>
          <w:bCs/>
        </w:rPr>
        <w:t xml:space="preserve">False Positive</w:t>
      </w:r>
      <w:r>
        <w:t xml:space="preserve"> (monitoring fired incorrectly — feeds the monitoring-precision metric, §7), or </w:t>
      </w:r>
      <w:r>
        <w:rPr>
          <w:b/>
          <w:bCs/>
        </w:rPr>
        <w:t xml:space="preserve">Duplicate / Merged</w:t>
      </w:r>
      <w:r>
        <w:t xml:space="preserve"> (linked into an existing incident). Dispositioned candidates remain queryable — a cluster of “rejected” reports about the same behavior is itself a detection signal.</w:t>
      </w:r>
    </w:p>
    <w:p>
      <w:pPr>
        <w:spacing w:after="120" w:line="276"/>
      </w:pPr>
      <w:r>
        <w:rPr>
          <w:b/>
          <w:bCs/>
        </w:rPr>
        <w:t xml:space="preserve">Automated pre-classification is a suggestion, not a decision.</w:t>
      </w:r>
      <w:r>
        <w:t xml:space="preserve"> Intake records created by Sentinel arrive with a suggested category and severity. The suggestion accelerates triage; it never replaces it — a human triager ratifies or overrides every classification before routing, and accountability for the call remains with the IC per §3.2. Overrides are logged and feed the severity re-grade metric (§7), which doubles as calibration data for the tool itself.</w:t>
      </w:r>
    </w:p>
    <w:p>
      <w:pPr>
        <w:spacing w:after="120" w:line="276"/>
      </w:pPr>
      <w:r>
        <w:rPr>
          <w:b/>
          <w:bCs/>
        </w:rPr>
        <w:t xml:space="preserve">Dual-track determination happens here:</w:t>
      </w:r>
      <w:r>
        <w:t xml:space="preserve"> if personal data may be involved, Privacy is pulled in at triage (not after containment) because notification clocks (§6.3) may already be running. Same for Legal if the incident is plausibly regulator-reportable.</w:t>
      </w:r>
    </w:p>
    <w:p>
      <w:pPr>
        <w:pStyle w:val="Heading2"/>
        <w:spacing w:after="120" w:before="260"/>
      </w:pPr>
      <w:r>
        <w:t xml:space="preserve">6.3 Escalation &amp; Notification</w:t>
      </w:r>
    </w:p>
    <w:p>
      <w:pPr>
        <w:spacing w:after="120" w:line="276"/>
      </w:pPr>
      <w:r>
        <w:rPr>
          <w:b/>
          <w:bCs/>
        </w:rPr>
        <w:t xml:space="preserve">Internal escalation matrix: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73"/>
        <w:gridCol w:w="1986"/>
        <w:gridCol w:w="2257"/>
        <w:gridCol w:w="1715"/>
        <w:gridCol w:w="1895"/>
      </w:tblGrid>
      <w:tr>
        <w:trPr>
          <w:tblHeader/>
        </w:trPr>
        <w:tc>
          <w:tcPr>
            <w:tcW w:type="dxa" w:w="1173"/>
            <w:shd w:fill="1F3864" w:color="auto" w:val="clear"/>
            <w:tcMar>
              <w:top w:type="dxa" w:w="60"/>
              <w:left w:type="dxa" w:w="80"/>
              <w:bottom w:type="dxa" w:w="60"/>
              <w:right w:type="dxa" w:w="80"/>
            </w:tcMar>
            <w:vAlign w:val="center"/>
          </w:tcPr>
          <w:p>
            <w:pPr>
              <w:spacing w:after="20" w:line="240"/>
            </w:pPr>
            <w:r>
              <w:rPr>
                <w:b/>
                <w:bCs/>
                <w:color w:val="FFFFFF"/>
                <w:sz w:val="18"/>
                <w:szCs w:val="18"/>
              </w:rPr>
              <w:t xml:space="preserve">Severity</w:t>
            </w:r>
          </w:p>
        </w:tc>
        <w:tc>
          <w:tcPr>
            <w:tcW w:type="dxa" w:w="1986"/>
            <w:shd w:fill="1F3864" w:color="auto" w:val="clear"/>
            <w:tcMar>
              <w:top w:type="dxa" w:w="60"/>
              <w:left w:type="dxa" w:w="80"/>
              <w:bottom w:type="dxa" w:w="60"/>
              <w:right w:type="dxa" w:w="80"/>
            </w:tcMar>
            <w:vAlign w:val="center"/>
          </w:tcPr>
          <w:p>
            <w:pPr>
              <w:spacing w:after="20" w:line="240"/>
            </w:pPr>
            <w:r>
              <w:rPr>
                <w:b/>
                <w:bCs/>
                <w:color w:val="FFFFFF"/>
                <w:sz w:val="18"/>
                <w:szCs w:val="18"/>
              </w:rPr>
              <w:t xml:space="preserve">IC</w:t>
            </w:r>
          </w:p>
        </w:tc>
        <w:tc>
          <w:tcPr>
            <w:tcW w:type="dxa" w:w="2257"/>
            <w:shd w:fill="1F3864" w:color="auto" w:val="clear"/>
            <w:tcMar>
              <w:top w:type="dxa" w:w="60"/>
              <w:left w:type="dxa" w:w="80"/>
              <w:bottom w:type="dxa" w:w="60"/>
              <w:right w:type="dxa" w:w="80"/>
            </w:tcMar>
            <w:vAlign w:val="center"/>
          </w:tcPr>
          <w:p>
            <w:pPr>
              <w:spacing w:after="20" w:line="240"/>
            </w:pPr>
            <w:r>
              <w:rPr>
                <w:b/>
                <w:bCs/>
                <w:color w:val="FFFFFF"/>
                <w:sz w:val="18"/>
                <w:szCs w:val="18"/>
              </w:rPr>
              <w:t xml:space="preserve">Executive</w:t>
            </w:r>
          </w:p>
        </w:tc>
        <w:tc>
          <w:tcPr>
            <w:tcW w:type="dxa" w:w="1715"/>
            <w:shd w:fill="1F3864" w:color="auto" w:val="clear"/>
            <w:tcMar>
              <w:top w:type="dxa" w:w="60"/>
              <w:left w:type="dxa" w:w="80"/>
              <w:bottom w:type="dxa" w:w="60"/>
              <w:right w:type="dxa" w:w="80"/>
            </w:tcMar>
            <w:vAlign w:val="center"/>
          </w:tcPr>
          <w:p>
            <w:pPr>
              <w:spacing w:after="20" w:line="240"/>
            </w:pPr>
            <w:r>
              <w:rPr>
                <w:b/>
                <w:bCs/>
                <w:color w:val="FFFFFF"/>
                <w:sz w:val="18"/>
                <w:szCs w:val="18"/>
              </w:rPr>
              <w:t xml:space="preserve">War room</w:t>
            </w:r>
          </w:p>
        </w:tc>
        <w:tc>
          <w:tcPr>
            <w:tcW w:type="dxa" w:w="1895"/>
            <w:shd w:fill="1F3864" w:color="auto" w:val="clear"/>
            <w:tcMar>
              <w:top w:type="dxa" w:w="60"/>
              <w:left w:type="dxa" w:w="80"/>
              <w:bottom w:type="dxa" w:w="60"/>
              <w:right w:type="dxa" w:w="80"/>
            </w:tcMar>
            <w:vAlign w:val="center"/>
          </w:tcPr>
          <w:p>
            <w:pPr>
              <w:spacing w:after="20" w:line="240"/>
            </w:pPr>
            <w:r>
              <w:rPr>
                <w:b/>
                <w:bCs/>
                <w:color w:val="FFFFFF"/>
                <w:sz w:val="18"/>
                <w:szCs w:val="18"/>
              </w:rPr>
              <w:t xml:space="preserve">Status cadence</w:t>
            </w:r>
          </w:p>
        </w:tc>
      </w:tr>
      <w:tr>
        <w:tc>
          <w:tcPr>
            <w:tcW w:type="dxa" w:w="1173"/>
            <w:tcMar>
              <w:top w:type="dxa" w:w="50"/>
              <w:left w:type="dxa" w:w="80"/>
              <w:bottom w:type="dxa" w:w="50"/>
              <w:right w:type="dxa" w:w="80"/>
            </w:tcMar>
          </w:tcPr>
          <w:p>
            <w:pPr>
              <w:spacing w:after="20" w:line="240"/>
            </w:pPr>
            <w:r>
              <w:rPr>
                <w:sz w:val="18"/>
                <w:szCs w:val="18"/>
              </w:rPr>
              <w:t xml:space="preserve">SEV-1</w:t>
            </w:r>
          </w:p>
        </w:tc>
        <w:tc>
          <w:tcPr>
            <w:tcW w:type="dxa" w:w="1986"/>
            <w:tcMar>
              <w:top w:type="dxa" w:w="50"/>
              <w:left w:type="dxa" w:w="80"/>
              <w:bottom w:type="dxa" w:w="50"/>
              <w:right w:type="dxa" w:w="80"/>
            </w:tcMar>
          </w:tcPr>
          <w:p>
            <w:pPr>
              <w:spacing w:after="20" w:line="240"/>
            </w:pPr>
            <w:r>
              <w:rPr>
                <w:sz w:val="18"/>
                <w:szCs w:val="18"/>
              </w:rPr>
              <w:t xml:space="preserve">Immediately assigned</w:t>
            </w:r>
          </w:p>
        </w:tc>
        <w:tc>
          <w:tcPr>
            <w:tcW w:type="dxa" w:w="2257"/>
            <w:tcMar>
              <w:top w:type="dxa" w:w="50"/>
              <w:left w:type="dxa" w:w="80"/>
              <w:bottom w:type="dxa" w:w="50"/>
              <w:right w:type="dxa" w:w="80"/>
            </w:tcMar>
          </w:tcPr>
          <w:p>
            <w:pPr>
              <w:spacing w:after="20" w:line="240"/>
            </w:pPr>
            <w:r>
              <w:rPr>
                <w:sz w:val="18"/>
                <w:szCs w:val="18"/>
              </w:rPr>
              <w:t xml:space="preserve">CRO + CTO ≤ 1 h; CEO informed same day</w:t>
            </w:r>
          </w:p>
        </w:tc>
        <w:tc>
          <w:tcPr>
            <w:tcW w:type="dxa" w:w="1715"/>
            <w:tcMar>
              <w:top w:type="dxa" w:w="50"/>
              <w:left w:type="dxa" w:w="80"/>
              <w:bottom w:type="dxa" w:w="50"/>
              <w:right w:type="dxa" w:w="80"/>
            </w:tcMar>
          </w:tcPr>
          <w:p>
            <w:pPr>
              <w:spacing w:after="20" w:line="240"/>
            </w:pPr>
            <w:r>
              <w:rPr>
                <w:sz w:val="18"/>
                <w:szCs w:val="18"/>
              </w:rPr>
              <w:t xml:space="preserve">Yes, dedicated channel + bridge</w:t>
            </w:r>
          </w:p>
        </w:tc>
        <w:tc>
          <w:tcPr>
            <w:tcW w:type="dxa" w:w="1895"/>
            <w:tcMar>
              <w:top w:type="dxa" w:w="50"/>
              <w:left w:type="dxa" w:w="80"/>
              <w:bottom w:type="dxa" w:w="50"/>
              <w:right w:type="dxa" w:w="80"/>
            </w:tcMar>
          </w:tcPr>
          <w:p>
            <w:pPr>
              <w:spacing w:after="20" w:line="240"/>
            </w:pPr>
            <w:r>
              <w:rPr>
                <w:sz w:val="18"/>
                <w:szCs w:val="18"/>
              </w:rPr>
              <w:t xml:space="preserve">Every 2 h until contained, then daily</w:t>
            </w:r>
          </w:p>
        </w:tc>
      </w:tr>
      <w:tr>
        <w:tc>
          <w:tcPr>
            <w:tcW w:type="dxa" w:w="1173"/>
            <w:shd w:fill="F2F6FB" w:color="auto" w:val="clear"/>
            <w:tcMar>
              <w:top w:type="dxa" w:w="50"/>
              <w:left w:type="dxa" w:w="80"/>
              <w:bottom w:type="dxa" w:w="50"/>
              <w:right w:type="dxa" w:w="80"/>
            </w:tcMar>
          </w:tcPr>
          <w:p>
            <w:pPr>
              <w:spacing w:after="20" w:line="240"/>
            </w:pPr>
            <w:r>
              <w:rPr>
                <w:sz w:val="18"/>
                <w:szCs w:val="18"/>
              </w:rPr>
              <w:t xml:space="preserve">SEV-2</w:t>
            </w:r>
          </w:p>
        </w:tc>
        <w:tc>
          <w:tcPr>
            <w:tcW w:type="dxa" w:w="1986"/>
            <w:shd w:fill="F2F6FB" w:color="auto" w:val="clear"/>
            <w:tcMar>
              <w:top w:type="dxa" w:w="50"/>
              <w:left w:type="dxa" w:w="80"/>
              <w:bottom w:type="dxa" w:w="50"/>
              <w:right w:type="dxa" w:w="80"/>
            </w:tcMar>
          </w:tcPr>
          <w:p>
            <w:pPr>
              <w:spacing w:after="20" w:line="240"/>
            </w:pPr>
            <w:r>
              <w:rPr>
                <w:sz w:val="18"/>
                <w:szCs w:val="18"/>
              </w:rPr>
              <w:t xml:space="preserve">Assigned ≤ 2 h</w:t>
            </w:r>
          </w:p>
        </w:tc>
        <w:tc>
          <w:tcPr>
            <w:tcW w:type="dxa" w:w="2257"/>
            <w:shd w:fill="F2F6FB" w:color="auto" w:val="clear"/>
            <w:tcMar>
              <w:top w:type="dxa" w:w="50"/>
              <w:left w:type="dxa" w:w="80"/>
              <w:bottom w:type="dxa" w:w="50"/>
              <w:right w:type="dxa" w:w="80"/>
            </w:tcMar>
          </w:tcPr>
          <w:p>
            <w:pPr>
              <w:spacing w:after="20" w:line="240"/>
            </w:pPr>
            <w:r>
              <w:rPr>
                <w:sz w:val="18"/>
                <w:szCs w:val="18"/>
              </w:rPr>
              <w:t xml:space="preserve">CRO same business day</w:t>
            </w:r>
          </w:p>
        </w:tc>
        <w:tc>
          <w:tcPr>
            <w:tcW w:type="dxa" w:w="1715"/>
            <w:shd w:fill="F2F6FB" w:color="auto" w:val="clear"/>
            <w:tcMar>
              <w:top w:type="dxa" w:w="50"/>
              <w:left w:type="dxa" w:w="80"/>
              <w:bottom w:type="dxa" w:w="50"/>
              <w:right w:type="dxa" w:w="80"/>
            </w:tcMar>
          </w:tcPr>
          <w:p>
            <w:pPr>
              <w:spacing w:after="20" w:line="240"/>
            </w:pPr>
            <w:r>
              <w:rPr>
                <w:sz w:val="18"/>
                <w:szCs w:val="18"/>
              </w:rPr>
              <w:t xml:space="preserve">Dedicated channel</w:t>
            </w:r>
          </w:p>
        </w:tc>
        <w:tc>
          <w:tcPr>
            <w:tcW w:type="dxa" w:w="1895"/>
            <w:shd w:fill="F2F6FB" w:color="auto" w:val="clear"/>
            <w:tcMar>
              <w:top w:type="dxa" w:w="50"/>
              <w:left w:type="dxa" w:w="80"/>
              <w:bottom w:type="dxa" w:w="50"/>
              <w:right w:type="dxa" w:w="80"/>
            </w:tcMar>
          </w:tcPr>
          <w:p>
            <w:pPr>
              <w:spacing w:after="20" w:line="240"/>
            </w:pPr>
            <w:r>
              <w:rPr>
                <w:sz w:val="18"/>
                <w:szCs w:val="18"/>
              </w:rPr>
              <w:t xml:space="preserve">Daily</w:t>
            </w:r>
          </w:p>
        </w:tc>
      </w:tr>
      <w:tr>
        <w:tc>
          <w:tcPr>
            <w:tcW w:type="dxa" w:w="1173"/>
            <w:tcMar>
              <w:top w:type="dxa" w:w="50"/>
              <w:left w:type="dxa" w:w="80"/>
              <w:bottom w:type="dxa" w:w="50"/>
              <w:right w:type="dxa" w:w="80"/>
            </w:tcMar>
          </w:tcPr>
          <w:p>
            <w:pPr>
              <w:spacing w:after="20" w:line="240"/>
            </w:pPr>
            <w:r>
              <w:rPr>
                <w:sz w:val="18"/>
                <w:szCs w:val="18"/>
              </w:rPr>
              <w:t xml:space="preserve">SEV-3</w:t>
            </w:r>
          </w:p>
        </w:tc>
        <w:tc>
          <w:tcPr>
            <w:tcW w:type="dxa" w:w="1986"/>
            <w:tcMar>
              <w:top w:type="dxa" w:w="50"/>
              <w:left w:type="dxa" w:w="80"/>
              <w:bottom w:type="dxa" w:w="50"/>
              <w:right w:type="dxa" w:w="80"/>
            </w:tcMar>
          </w:tcPr>
          <w:p>
            <w:pPr>
              <w:spacing w:after="20" w:line="240"/>
            </w:pPr>
            <w:r>
              <w:rPr>
                <w:sz w:val="18"/>
                <w:szCs w:val="18"/>
              </w:rPr>
              <w:t xml:space="preserve">Optional (category owner leads)</w:t>
            </w:r>
          </w:p>
        </w:tc>
        <w:tc>
          <w:tcPr>
            <w:tcW w:type="dxa" w:w="2257"/>
            <w:tcMar>
              <w:top w:type="dxa" w:w="50"/>
              <w:left w:type="dxa" w:w="80"/>
              <w:bottom w:type="dxa" w:w="50"/>
              <w:right w:type="dxa" w:w="80"/>
            </w:tcMar>
          </w:tcPr>
          <w:p>
            <w:pPr>
              <w:spacing w:after="20" w:line="240"/>
            </w:pPr>
            <w:r>
              <w:rPr>
                <w:sz w:val="18"/>
                <w:szCs w:val="18"/>
              </w:rPr>
              <w:t xml:space="preserve">Monthly roll-up</w:t>
            </w:r>
          </w:p>
        </w:tc>
        <w:tc>
          <w:tcPr>
            <w:tcW w:type="dxa" w:w="1715"/>
            <w:tcMar>
              <w:top w:type="dxa" w:w="50"/>
              <w:left w:type="dxa" w:w="80"/>
              <w:bottom w:type="dxa" w:w="50"/>
              <w:right w:type="dxa" w:w="80"/>
            </w:tcMar>
          </w:tcPr>
          <w:p>
            <w:pPr>
              <w:spacing w:after="20" w:line="240"/>
            </w:pPr>
            <w:r>
              <w:rPr>
                <w:sz w:val="18"/>
                <w:szCs w:val="18"/>
              </w:rPr>
              <w:t xml:space="preserve">—</w:t>
            </w:r>
          </w:p>
        </w:tc>
        <w:tc>
          <w:tcPr>
            <w:tcW w:type="dxa" w:w="1895"/>
            <w:tcMar>
              <w:top w:type="dxa" w:w="50"/>
              <w:left w:type="dxa" w:w="80"/>
              <w:bottom w:type="dxa" w:w="50"/>
              <w:right w:type="dxa" w:w="80"/>
            </w:tcMar>
          </w:tcPr>
          <w:p>
            <w:pPr>
              <w:spacing w:after="20" w:line="240"/>
            </w:pPr>
            <w:r>
              <w:rPr>
                <w:sz w:val="18"/>
                <w:szCs w:val="18"/>
              </w:rPr>
              <w:t xml:space="preserve">At state changes</w:t>
            </w:r>
          </w:p>
        </w:tc>
      </w:tr>
      <w:tr>
        <w:tc>
          <w:tcPr>
            <w:tcW w:type="dxa" w:w="1173"/>
            <w:shd w:fill="F2F6FB" w:color="auto" w:val="clear"/>
            <w:tcMar>
              <w:top w:type="dxa" w:w="50"/>
              <w:left w:type="dxa" w:w="80"/>
              <w:bottom w:type="dxa" w:w="50"/>
              <w:right w:type="dxa" w:w="80"/>
            </w:tcMar>
          </w:tcPr>
          <w:p>
            <w:pPr>
              <w:spacing w:after="20" w:line="240"/>
            </w:pPr>
            <w:r>
              <w:rPr>
                <w:sz w:val="18"/>
                <w:szCs w:val="18"/>
              </w:rPr>
              <w:t xml:space="preserve">SEV-4 / NM</w:t>
            </w:r>
          </w:p>
        </w:tc>
        <w:tc>
          <w:tcPr>
            <w:tcW w:type="dxa" w:w="1986"/>
            <w:shd w:fill="F2F6FB" w:color="auto" w:val="clear"/>
            <w:tcMar>
              <w:top w:type="dxa" w:w="50"/>
              <w:left w:type="dxa" w:w="80"/>
              <w:bottom w:type="dxa" w:w="50"/>
              <w:right w:type="dxa" w:w="80"/>
            </w:tcMar>
          </w:tcPr>
          <w:p>
            <w:pPr>
              <w:spacing w:after="20" w:line="240"/>
            </w:pPr>
            <w:r>
              <w:rPr>
                <w:sz w:val="18"/>
                <w:szCs w:val="18"/>
              </w:rPr>
              <w:t xml:space="preserve">—</w:t>
            </w:r>
          </w:p>
        </w:tc>
        <w:tc>
          <w:tcPr>
            <w:tcW w:type="dxa" w:w="2257"/>
            <w:shd w:fill="F2F6FB" w:color="auto" w:val="clear"/>
            <w:tcMar>
              <w:top w:type="dxa" w:w="50"/>
              <w:left w:type="dxa" w:w="80"/>
              <w:bottom w:type="dxa" w:w="50"/>
              <w:right w:type="dxa" w:w="80"/>
            </w:tcMar>
          </w:tcPr>
          <w:p>
            <w:pPr>
              <w:spacing w:after="20" w:line="240"/>
            </w:pPr>
            <w:r>
              <w:rPr>
                <w:sz w:val="18"/>
                <w:szCs w:val="18"/>
              </w:rPr>
              <w:t xml:space="preserve">Monthly roll-up</w:t>
            </w:r>
          </w:p>
        </w:tc>
        <w:tc>
          <w:tcPr>
            <w:tcW w:type="dxa" w:w="1715"/>
            <w:shd w:fill="F2F6FB" w:color="auto" w:val="clear"/>
            <w:tcMar>
              <w:top w:type="dxa" w:w="50"/>
              <w:left w:type="dxa" w:w="80"/>
              <w:bottom w:type="dxa" w:w="50"/>
              <w:right w:type="dxa" w:w="80"/>
            </w:tcMar>
          </w:tcPr>
          <w:p>
            <w:pPr>
              <w:spacing w:after="20" w:line="240"/>
            </w:pPr>
            <w:r>
              <w:rPr>
                <w:sz w:val="18"/>
                <w:szCs w:val="18"/>
              </w:rPr>
              <w:t xml:space="preserve">—</w:t>
            </w:r>
          </w:p>
        </w:tc>
        <w:tc>
          <w:tcPr>
            <w:tcW w:type="dxa" w:w="1895"/>
            <w:shd w:fill="F2F6FB" w:color="auto" w:val="clear"/>
            <w:tcMar>
              <w:top w:type="dxa" w:w="50"/>
              <w:left w:type="dxa" w:w="80"/>
              <w:bottom w:type="dxa" w:w="50"/>
              <w:right w:type="dxa" w:w="80"/>
            </w:tcMar>
          </w:tcPr>
          <w:p>
            <w:pPr>
              <w:spacing w:after="20" w:line="240"/>
            </w:pPr>
            <w:r>
              <w:rPr>
                <w:sz w:val="18"/>
                <w:szCs w:val="18"/>
              </w:rPr>
              <w:t xml:space="preserve">On closure</w:t>
            </w:r>
          </w:p>
        </w:tc>
      </w:tr>
    </w:tbl>
    <w:p>
      <w:pPr>
        <w:spacing w:after="120"/>
      </w:pPr>
    </w:p>
    <w:p>
      <w:pPr>
        <w:spacing w:after="120" w:line="276"/>
      </w:pPr>
      <w:r>
        <w:t xml:space="preserve">Escalation is </w:t>
      </w:r>
      <w:r>
        <w:rPr>
          <w:b/>
          <w:bCs/>
        </w:rPr>
        <w:t xml:space="preserve">severity-driven and automatic</w:t>
      </w:r>
      <w:r>
        <w:t xml:space="preserve"> — the matrix removes the judgment call (and the social friction) of “should I wake someone up.” Any responder may also escalate one level on judgment; no one may de-escalate below the matrix.</w:t>
      </w:r>
    </w:p>
    <w:p>
      <w:pPr>
        <w:spacing w:after="120" w:line="276"/>
      </w:pPr>
      <w:r>
        <w:rPr>
          <w:b/>
          <w:bCs/>
        </w:rPr>
        <w:t xml:space="preserve">External notification clocks</w:t>
      </w:r>
      <w:r>
        <w:t xml:space="preserve"> (owned by Legal + Privacy, assessed at triage):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3971"/>
        <w:gridCol w:w="2527"/>
      </w:tblGrid>
      <w:tr>
        <w:trPr>
          <w:tblHeader/>
        </w:trPr>
        <w:tc>
          <w:tcPr>
            <w:tcW w:type="dxa" w:w="2527"/>
            <w:shd w:fill="1F3864" w:color="auto" w:val="clear"/>
            <w:tcMar>
              <w:top w:type="dxa" w:w="60"/>
              <w:left w:type="dxa" w:w="80"/>
              <w:bottom w:type="dxa" w:w="60"/>
              <w:right w:type="dxa" w:w="80"/>
            </w:tcMar>
            <w:vAlign w:val="center"/>
          </w:tcPr>
          <w:p>
            <w:pPr>
              <w:spacing w:after="20" w:line="240"/>
            </w:pPr>
            <w:r>
              <w:rPr>
                <w:b/>
                <w:bCs/>
                <w:color w:val="FFFFFF"/>
                <w:sz w:val="18"/>
                <w:szCs w:val="18"/>
              </w:rPr>
              <w:t xml:space="preserve">Trigger</w:t>
            </w:r>
          </w:p>
        </w:tc>
        <w:tc>
          <w:tcPr>
            <w:tcW w:type="dxa" w:w="3971"/>
            <w:shd w:fill="1F3864" w:color="auto" w:val="clear"/>
            <w:tcMar>
              <w:top w:type="dxa" w:w="60"/>
              <w:left w:type="dxa" w:w="80"/>
              <w:bottom w:type="dxa" w:w="60"/>
              <w:right w:type="dxa" w:w="80"/>
            </w:tcMar>
            <w:vAlign w:val="center"/>
          </w:tcPr>
          <w:p>
            <w:pPr>
              <w:spacing w:after="20" w:line="240"/>
            </w:pPr>
            <w:r>
              <w:rPr>
                <w:b/>
                <w:bCs/>
                <w:color w:val="FFFFFF"/>
                <w:sz w:val="18"/>
                <w:szCs w:val="18"/>
              </w:rPr>
              <w:t xml:space="preserve">Obligation (illustrative)</w:t>
            </w:r>
          </w:p>
        </w:tc>
        <w:tc>
          <w:tcPr>
            <w:tcW w:type="dxa" w:w="2527"/>
            <w:shd w:fill="1F3864" w:color="auto" w:val="clear"/>
            <w:tcMar>
              <w:top w:type="dxa" w:w="60"/>
              <w:left w:type="dxa" w:w="80"/>
              <w:bottom w:type="dxa" w:w="60"/>
              <w:right w:type="dxa" w:w="80"/>
            </w:tcMar>
            <w:vAlign w:val="center"/>
          </w:tcPr>
          <w:p>
            <w:pPr>
              <w:spacing w:after="20" w:line="240"/>
            </w:pPr>
            <w:r>
              <w:rPr>
                <w:b/>
                <w:bCs/>
                <w:color w:val="FFFFFF"/>
                <w:sz w:val="18"/>
                <w:szCs w:val="18"/>
              </w:rPr>
              <w:t xml:space="preserve">Clock</w:t>
            </w:r>
          </w:p>
        </w:tc>
      </w:tr>
      <w:tr>
        <w:tc>
          <w:tcPr>
            <w:tcW w:type="dxa" w:w="2527"/>
            <w:tcMar>
              <w:top w:type="dxa" w:w="50"/>
              <w:left w:type="dxa" w:w="80"/>
              <w:bottom w:type="dxa" w:w="50"/>
              <w:right w:type="dxa" w:w="80"/>
            </w:tcMar>
          </w:tcPr>
          <w:p>
            <w:pPr>
              <w:spacing w:after="20" w:line="240"/>
            </w:pPr>
            <w:r>
              <w:rPr>
                <w:sz w:val="18"/>
                <w:szCs w:val="18"/>
              </w:rPr>
              <w:t xml:space="preserve">Personal data breach (C3, some C4)</w:t>
            </w:r>
          </w:p>
        </w:tc>
        <w:tc>
          <w:tcPr>
            <w:tcW w:type="dxa" w:w="3971"/>
            <w:tcMar>
              <w:top w:type="dxa" w:w="50"/>
              <w:left w:type="dxa" w:w="80"/>
              <w:bottom w:type="dxa" w:w="50"/>
              <w:right w:type="dxa" w:w="80"/>
            </w:tcMar>
          </w:tcPr>
          <w:p>
            <w:pPr>
              <w:spacing w:after="20" w:line="240"/>
            </w:pPr>
            <w:r>
              <w:rPr>
                <w:sz w:val="18"/>
                <w:szCs w:val="18"/>
              </w:rPr>
              <w:t xml:space="preserve">Data-protection regulator notification (e.g., GDPR Art. 33)</w:t>
            </w:r>
          </w:p>
        </w:tc>
        <w:tc>
          <w:tcPr>
            <w:tcW w:type="dxa" w:w="2527"/>
            <w:tcMar>
              <w:top w:type="dxa" w:w="50"/>
              <w:left w:type="dxa" w:w="80"/>
              <w:bottom w:type="dxa" w:w="50"/>
              <w:right w:type="dxa" w:w="80"/>
            </w:tcMar>
          </w:tcPr>
          <w:p>
            <w:pPr>
              <w:spacing w:after="20" w:line="240"/>
            </w:pPr>
            <w:r>
              <w:rPr>
                <w:sz w:val="18"/>
                <w:szCs w:val="18"/>
              </w:rPr>
              <w:t xml:space="preserve">72 h from awareness</w:t>
            </w:r>
          </w:p>
        </w:tc>
      </w:tr>
      <w:tr>
        <w:tc>
          <w:tcPr>
            <w:tcW w:type="dxa" w:w="2527"/>
            <w:shd w:fill="F2F6FB" w:color="auto" w:val="clear"/>
            <w:tcMar>
              <w:top w:type="dxa" w:w="50"/>
              <w:left w:type="dxa" w:w="80"/>
              <w:bottom w:type="dxa" w:w="50"/>
              <w:right w:type="dxa" w:w="80"/>
            </w:tcMar>
          </w:tcPr>
          <w:p>
            <w:pPr>
              <w:spacing w:after="20" w:line="240"/>
            </w:pPr>
            <w:r>
              <w:rPr>
                <w:sz w:val="18"/>
                <w:szCs w:val="18"/>
              </w:rPr>
              <w:t xml:space="preserve">Serious AI incident under applicable AI regulation</w:t>
            </w:r>
          </w:p>
        </w:tc>
        <w:tc>
          <w:tcPr>
            <w:tcW w:type="dxa" w:w="3971"/>
            <w:shd w:fill="F2F6FB" w:color="auto" w:val="clear"/>
            <w:tcMar>
              <w:top w:type="dxa" w:w="50"/>
              <w:left w:type="dxa" w:w="80"/>
              <w:bottom w:type="dxa" w:w="50"/>
              <w:right w:type="dxa" w:w="80"/>
            </w:tcMar>
          </w:tcPr>
          <w:p>
            <w:pPr>
              <w:spacing w:after="20" w:line="240"/>
            </w:pPr>
            <w:r>
              <w:rPr>
                <w:sz w:val="18"/>
                <w:szCs w:val="18"/>
              </w:rPr>
              <w:t xml:space="preserve">e.g., EU AI Act Art. 73 serious-incident reporting for high-risk systems</w:t>
            </w:r>
          </w:p>
        </w:tc>
        <w:tc>
          <w:tcPr>
            <w:tcW w:type="dxa" w:w="2527"/>
            <w:shd w:fill="F2F6FB" w:color="auto" w:val="clear"/>
            <w:tcMar>
              <w:top w:type="dxa" w:w="50"/>
              <w:left w:type="dxa" w:w="80"/>
              <w:bottom w:type="dxa" w:w="50"/>
              <w:right w:type="dxa" w:w="80"/>
            </w:tcMar>
          </w:tcPr>
          <w:p>
            <w:pPr>
              <w:spacing w:after="20" w:line="240"/>
            </w:pPr>
            <w:r>
              <w:rPr>
                <w:sz w:val="18"/>
                <w:szCs w:val="18"/>
              </w:rPr>
              <w:t xml:space="preserve">2–15 days depending on incident nature</w:t>
            </w:r>
          </w:p>
        </w:tc>
      </w:tr>
      <w:tr>
        <w:tc>
          <w:tcPr>
            <w:tcW w:type="dxa" w:w="2527"/>
            <w:tcMar>
              <w:top w:type="dxa" w:w="50"/>
              <w:left w:type="dxa" w:w="80"/>
              <w:bottom w:type="dxa" w:w="50"/>
              <w:right w:type="dxa" w:w="80"/>
            </w:tcMar>
          </w:tcPr>
          <w:p>
            <w:pPr>
              <w:spacing w:after="20" w:line="240"/>
            </w:pPr>
            <w:r>
              <w:rPr>
                <w:sz w:val="18"/>
                <w:szCs w:val="18"/>
              </w:rPr>
              <w:t xml:space="preserve">Financial-regulatory triggers</w:t>
            </w:r>
          </w:p>
        </w:tc>
        <w:tc>
          <w:tcPr>
            <w:tcW w:type="dxa" w:w="3971"/>
            <w:tcMar>
              <w:top w:type="dxa" w:w="50"/>
              <w:left w:type="dxa" w:w="80"/>
              <w:bottom w:type="dxa" w:w="50"/>
              <w:right w:type="dxa" w:w="80"/>
            </w:tcMar>
          </w:tcPr>
          <w:p>
            <w:pPr>
              <w:spacing w:after="20" w:line="240"/>
            </w:pPr>
            <w:r>
              <w:rPr>
                <w:sz w:val="18"/>
                <w:szCs w:val="18"/>
              </w:rPr>
              <w:t xml:space="preserve">SAR filings; prudential notification for operational incidents affecting customer funds</w:t>
            </w:r>
          </w:p>
        </w:tc>
        <w:tc>
          <w:tcPr>
            <w:tcW w:type="dxa" w:w="2527"/>
            <w:tcMar>
              <w:top w:type="dxa" w:w="50"/>
              <w:left w:type="dxa" w:w="80"/>
              <w:bottom w:type="dxa" w:w="50"/>
              <w:right w:type="dxa" w:w="80"/>
            </w:tcMar>
          </w:tcPr>
          <w:p>
            <w:pPr>
              <w:spacing w:after="20" w:line="240"/>
            </w:pPr>
            <w:r>
              <w:rPr>
                <w:sz w:val="18"/>
                <w:szCs w:val="18"/>
              </w:rPr>
              <w:t xml:space="preserve">Per jurisdiction</w:t>
            </w:r>
          </w:p>
        </w:tc>
      </w:tr>
      <w:tr>
        <w:tc>
          <w:tcPr>
            <w:tcW w:type="dxa" w:w="2527"/>
            <w:shd w:fill="F2F6FB" w:color="auto" w:val="clear"/>
            <w:tcMar>
              <w:top w:type="dxa" w:w="50"/>
              <w:left w:type="dxa" w:w="80"/>
              <w:bottom w:type="dxa" w:w="50"/>
              <w:right w:type="dxa" w:w="80"/>
            </w:tcMar>
          </w:tcPr>
          <w:p>
            <w:pPr>
              <w:spacing w:after="20" w:line="240"/>
            </w:pPr>
            <w:r>
              <w:rPr>
                <w:sz w:val="18"/>
                <w:szCs w:val="18"/>
              </w:rPr>
              <w:t xml:space="preserve">Contractual</w:t>
            </w:r>
          </w:p>
        </w:tc>
        <w:tc>
          <w:tcPr>
            <w:tcW w:type="dxa" w:w="3971"/>
            <w:shd w:fill="F2F6FB" w:color="auto" w:val="clear"/>
            <w:tcMar>
              <w:top w:type="dxa" w:w="50"/>
              <w:left w:type="dxa" w:w="80"/>
              <w:bottom w:type="dxa" w:w="50"/>
              <w:right w:type="dxa" w:w="80"/>
            </w:tcMar>
          </w:tcPr>
          <w:p>
            <w:pPr>
              <w:spacing w:after="20" w:line="240"/>
            </w:pPr>
            <w:r>
              <w:rPr>
                <w:sz w:val="18"/>
                <w:szCs w:val="18"/>
              </w:rPr>
              <w:t xml:space="preserve">Notification to enterprise customers, partners; </w:t>
            </w:r>
            <w:r>
              <w:rPr>
                <w:sz w:val="18"/>
                <w:szCs w:val="18"/>
              </w:rPr>
              <w:t xml:space="preserve">inbound</w:t>
            </w:r>
            <w:r>
              <w:rPr>
                <w:sz w:val="18"/>
                <w:szCs w:val="18"/>
              </w:rPr>
              <w:t xml:space="preserve">: vendors must notify Meridian of C7-relevant events per contract</w:t>
            </w:r>
          </w:p>
        </w:tc>
        <w:tc>
          <w:tcPr>
            <w:tcW w:type="dxa" w:w="2527"/>
            <w:shd w:fill="F2F6FB" w:color="auto" w:val="clear"/>
            <w:tcMar>
              <w:top w:type="dxa" w:w="50"/>
              <w:left w:type="dxa" w:w="80"/>
              <w:bottom w:type="dxa" w:w="50"/>
              <w:right w:type="dxa" w:w="80"/>
            </w:tcMar>
          </w:tcPr>
          <w:p>
            <w:pPr>
              <w:spacing w:after="20" w:line="240"/>
            </w:pPr>
            <w:r>
              <w:rPr>
                <w:sz w:val="18"/>
                <w:szCs w:val="18"/>
              </w:rPr>
              <w:t xml:space="preserve">Per contract</w:t>
            </w:r>
          </w:p>
        </w:tc>
      </w:tr>
      <w:tr>
        <w:tc>
          <w:tcPr>
            <w:tcW w:type="dxa" w:w="2527"/>
            <w:tcMar>
              <w:top w:type="dxa" w:w="50"/>
              <w:left w:type="dxa" w:w="80"/>
              <w:bottom w:type="dxa" w:w="50"/>
              <w:right w:type="dxa" w:w="80"/>
            </w:tcMar>
          </w:tcPr>
          <w:p>
            <w:pPr>
              <w:spacing w:after="20" w:line="240"/>
            </w:pPr>
            <w:r>
              <w:rPr>
                <w:sz w:val="18"/>
                <w:szCs w:val="18"/>
              </w:rPr>
              <w:t xml:space="preserve">Affected users</w:t>
            </w:r>
          </w:p>
        </w:tc>
        <w:tc>
          <w:tcPr>
            <w:tcW w:type="dxa" w:w="3971"/>
            <w:tcMar>
              <w:top w:type="dxa" w:w="50"/>
              <w:left w:type="dxa" w:w="80"/>
              <w:bottom w:type="dxa" w:w="50"/>
              <w:right w:type="dxa" w:w="80"/>
            </w:tcMar>
          </w:tcPr>
          <w:p>
            <w:pPr>
              <w:spacing w:after="20" w:line="240"/>
            </w:pPr>
            <w:r>
              <w:rPr>
                <w:sz w:val="18"/>
                <w:szCs w:val="18"/>
              </w:rPr>
              <w:t xml:space="preserve">Direct notice where legally required or where trust demands it</w:t>
            </w:r>
          </w:p>
        </w:tc>
        <w:tc>
          <w:tcPr>
            <w:tcW w:type="dxa" w:w="2527"/>
            <w:tcMar>
              <w:top w:type="dxa" w:w="50"/>
              <w:left w:type="dxa" w:w="80"/>
              <w:bottom w:type="dxa" w:w="50"/>
              <w:right w:type="dxa" w:w="80"/>
            </w:tcMar>
          </w:tcPr>
          <w:p>
            <w:pPr>
              <w:spacing w:after="20" w:line="240"/>
            </w:pPr>
            <w:r>
              <w:rPr>
                <w:sz w:val="18"/>
                <w:szCs w:val="18"/>
              </w:rPr>
              <w:t xml:space="preserve">Comms leads, Legal approves</w:t>
            </w:r>
          </w:p>
        </w:tc>
      </w:tr>
    </w:tbl>
    <w:p>
      <w:pPr>
        <w:spacing w:after="120"/>
      </w:pPr>
    </w:p>
    <w:p>
      <w:pPr>
        <w:spacing w:after="120" w:line="276"/>
      </w:pPr>
      <w:r>
        <w:t xml:space="preserve">The playbook's job is not to enumerate every jurisdiction — it is to guarantee the </w:t>
      </w:r>
      <w:r>
        <w:rPr>
          <w:b/>
          <w:bCs/>
        </w:rPr>
        <w:t xml:space="preserve">question is asked at triage</w:t>
      </w:r>
      <w:r>
        <w:t xml:space="preserve"> and a named owner runs each clock.</w:t>
      </w:r>
    </w:p>
    <w:p>
      <w:pPr>
        <w:spacing w:after="120" w:line="276"/>
      </w:pPr>
      <w:r>
        <w:rPr>
          <w:b/>
          <w:bCs/>
        </w:rPr>
        <w:t xml:space="preserve">Communication matrix (who speaks to whom):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1805"/>
        <w:gridCol w:w="2347"/>
        <w:gridCol w:w="2888"/>
      </w:tblGrid>
      <w:tr>
        <w:trPr>
          <w:tblHeader/>
        </w:trPr>
        <w:tc>
          <w:tcPr>
            <w:tcW w:type="dxa" w:w="1986"/>
            <w:shd w:fill="1F3864" w:color="auto" w:val="clear"/>
            <w:tcMar>
              <w:top w:type="dxa" w:w="60"/>
              <w:left w:type="dxa" w:w="80"/>
              <w:bottom w:type="dxa" w:w="60"/>
              <w:right w:type="dxa" w:w="80"/>
            </w:tcMar>
            <w:vAlign w:val="center"/>
          </w:tcPr>
          <w:p>
            <w:pPr>
              <w:spacing w:after="20" w:line="240"/>
            </w:pPr>
            <w:r>
              <w:rPr>
                <w:b/>
                <w:bCs/>
                <w:color w:val="FFFFFF"/>
                <w:sz w:val="18"/>
                <w:szCs w:val="18"/>
              </w:rPr>
              <w:t xml:space="preserve">Audience</w:t>
            </w:r>
          </w:p>
        </w:tc>
        <w:tc>
          <w:tcPr>
            <w:tcW w:type="dxa" w:w="1805"/>
            <w:shd w:fill="1F3864" w:color="auto" w:val="clear"/>
            <w:tcMar>
              <w:top w:type="dxa" w:w="60"/>
              <w:left w:type="dxa" w:w="80"/>
              <w:bottom w:type="dxa" w:w="60"/>
              <w:right w:type="dxa" w:w="80"/>
            </w:tcMar>
            <w:vAlign w:val="center"/>
          </w:tcPr>
          <w:p>
            <w:pPr>
              <w:spacing w:after="20" w:line="240"/>
            </w:pPr>
            <w:r>
              <w:rPr>
                <w:b/>
                <w:bCs/>
                <w:color w:val="FFFFFF"/>
                <w:sz w:val="18"/>
                <w:szCs w:val="18"/>
              </w:rPr>
              <w:t xml:space="preserve">Drafts</w:t>
            </w:r>
          </w:p>
        </w:tc>
        <w:tc>
          <w:tcPr>
            <w:tcW w:type="dxa" w:w="2347"/>
            <w:shd w:fill="1F3864" w:color="auto" w:val="clear"/>
            <w:tcMar>
              <w:top w:type="dxa" w:w="60"/>
              <w:left w:type="dxa" w:w="80"/>
              <w:bottom w:type="dxa" w:w="60"/>
              <w:right w:type="dxa" w:w="80"/>
            </w:tcMar>
            <w:vAlign w:val="center"/>
          </w:tcPr>
          <w:p>
            <w:pPr>
              <w:spacing w:after="20" w:line="240"/>
            </w:pPr>
            <w:r>
              <w:rPr>
                <w:b/>
                <w:bCs/>
                <w:color w:val="FFFFFF"/>
                <w:sz w:val="18"/>
                <w:szCs w:val="18"/>
              </w:rPr>
              <w:t xml:space="preserve">Approves</w:t>
            </w:r>
          </w:p>
        </w:tc>
        <w:tc>
          <w:tcPr>
            <w:tcW w:type="dxa" w:w="2888"/>
            <w:shd w:fill="1F3864" w:color="auto" w:val="clear"/>
            <w:tcMar>
              <w:top w:type="dxa" w:w="60"/>
              <w:left w:type="dxa" w:w="80"/>
              <w:bottom w:type="dxa" w:w="60"/>
              <w:right w:type="dxa" w:w="80"/>
            </w:tcMar>
            <w:vAlign w:val="center"/>
          </w:tcPr>
          <w:p>
            <w:pPr>
              <w:spacing w:after="20" w:line="240"/>
            </w:pPr>
            <w:r>
              <w:rPr>
                <w:b/>
                <w:bCs/>
                <w:color w:val="FFFFFF"/>
                <w:sz w:val="18"/>
                <w:szCs w:val="18"/>
              </w:rPr>
              <w:t xml:space="preserve">Channel</w:t>
            </w:r>
          </w:p>
        </w:tc>
      </w:tr>
      <w:tr>
        <w:tc>
          <w:tcPr>
            <w:tcW w:type="dxa" w:w="1986"/>
            <w:tcMar>
              <w:top w:type="dxa" w:w="50"/>
              <w:left w:type="dxa" w:w="80"/>
              <w:bottom w:type="dxa" w:w="50"/>
              <w:right w:type="dxa" w:w="80"/>
            </w:tcMar>
          </w:tcPr>
          <w:p>
            <w:pPr>
              <w:spacing w:after="20" w:line="240"/>
            </w:pPr>
            <w:r>
              <w:rPr>
                <w:sz w:val="18"/>
                <w:szCs w:val="18"/>
              </w:rPr>
              <w:t xml:space="preserve">Responders &amp; leadership</w:t>
            </w:r>
          </w:p>
        </w:tc>
        <w:tc>
          <w:tcPr>
            <w:tcW w:type="dxa" w:w="1805"/>
            <w:tcMar>
              <w:top w:type="dxa" w:w="50"/>
              <w:left w:type="dxa" w:w="80"/>
              <w:bottom w:type="dxa" w:w="50"/>
              <w:right w:type="dxa" w:w="80"/>
            </w:tcMar>
          </w:tcPr>
          <w:p>
            <w:pPr>
              <w:spacing w:after="20" w:line="240"/>
            </w:pPr>
            <w:r>
              <w:rPr>
                <w:sz w:val="18"/>
                <w:szCs w:val="18"/>
              </w:rPr>
              <w:t xml:space="preserve">IC</w:t>
            </w:r>
          </w:p>
        </w:tc>
        <w:tc>
          <w:tcPr>
            <w:tcW w:type="dxa" w:w="2347"/>
            <w:tcMar>
              <w:top w:type="dxa" w:w="50"/>
              <w:left w:type="dxa" w:w="80"/>
              <w:bottom w:type="dxa" w:w="50"/>
              <w:right w:type="dxa" w:w="80"/>
            </w:tcMar>
          </w:tcPr>
          <w:p>
            <w:pPr>
              <w:spacing w:after="20" w:line="240"/>
            </w:pPr>
            <w:r>
              <w:rPr>
                <w:sz w:val="18"/>
                <w:szCs w:val="18"/>
              </w:rPr>
              <w:t xml:space="preserve">IC</w:t>
            </w:r>
          </w:p>
        </w:tc>
        <w:tc>
          <w:tcPr>
            <w:tcW w:type="dxa" w:w="2888"/>
            <w:tcMar>
              <w:top w:type="dxa" w:w="50"/>
              <w:left w:type="dxa" w:w="80"/>
              <w:bottom w:type="dxa" w:w="50"/>
              <w:right w:type="dxa" w:w="80"/>
            </w:tcMar>
          </w:tcPr>
          <w:p>
            <w:pPr>
              <w:spacing w:after="20" w:line="240"/>
            </w:pPr>
            <w:r>
              <w:rPr>
                <w:sz w:val="18"/>
                <w:szCs w:val="18"/>
              </w:rPr>
              <w:t xml:space="preserve">Incident channel; status cadence per matrix above</w:t>
            </w:r>
          </w:p>
        </w:tc>
      </w:tr>
      <w:tr>
        <w:tc>
          <w:tcPr>
            <w:tcW w:type="dxa" w:w="1986"/>
            <w:shd w:fill="F2F6FB" w:color="auto" w:val="clear"/>
            <w:tcMar>
              <w:top w:type="dxa" w:w="50"/>
              <w:left w:type="dxa" w:w="80"/>
              <w:bottom w:type="dxa" w:w="50"/>
              <w:right w:type="dxa" w:w="80"/>
            </w:tcMar>
          </w:tcPr>
          <w:p>
            <w:pPr>
              <w:spacing w:after="20" w:line="240"/>
            </w:pPr>
            <w:r>
              <w:rPr>
                <w:sz w:val="18"/>
                <w:szCs w:val="18"/>
              </w:rPr>
              <w:t xml:space="preserve">All staff</w:t>
            </w:r>
          </w:p>
        </w:tc>
        <w:tc>
          <w:tcPr>
            <w:tcW w:type="dxa" w:w="1805"/>
            <w:shd w:fill="F2F6FB" w:color="auto" w:val="clear"/>
            <w:tcMar>
              <w:top w:type="dxa" w:w="50"/>
              <w:left w:type="dxa" w:w="80"/>
              <w:bottom w:type="dxa" w:w="50"/>
              <w:right w:type="dxa" w:w="80"/>
            </w:tcMar>
          </w:tcPr>
          <w:p>
            <w:pPr>
              <w:spacing w:after="20" w:line="240"/>
            </w:pPr>
            <w:r>
              <w:rPr>
                <w:sz w:val="18"/>
                <w:szCs w:val="18"/>
              </w:rPr>
              <w:t xml:space="preserve">Comms</w:t>
            </w:r>
          </w:p>
        </w:tc>
        <w:tc>
          <w:tcPr>
            <w:tcW w:type="dxa" w:w="2347"/>
            <w:shd w:fill="F2F6FB" w:color="auto" w:val="clear"/>
            <w:tcMar>
              <w:top w:type="dxa" w:w="50"/>
              <w:left w:type="dxa" w:w="80"/>
              <w:bottom w:type="dxa" w:w="50"/>
              <w:right w:type="dxa" w:w="80"/>
            </w:tcMar>
          </w:tcPr>
          <w:p>
            <w:pPr>
              <w:spacing w:after="20" w:line="240"/>
            </w:pPr>
            <w:r>
              <w:rPr>
                <w:sz w:val="18"/>
                <w:szCs w:val="18"/>
              </w:rPr>
              <w:t xml:space="preserve">Head of T&amp;S</w:t>
            </w:r>
          </w:p>
        </w:tc>
        <w:tc>
          <w:tcPr>
            <w:tcW w:type="dxa" w:w="2888"/>
            <w:shd w:fill="F2F6FB" w:color="auto" w:val="clear"/>
            <w:tcMar>
              <w:top w:type="dxa" w:w="50"/>
              <w:left w:type="dxa" w:w="80"/>
              <w:bottom w:type="dxa" w:w="50"/>
              <w:right w:type="dxa" w:w="80"/>
            </w:tcMar>
          </w:tcPr>
          <w:p>
            <w:pPr>
              <w:spacing w:after="20" w:line="240"/>
            </w:pPr>
            <w:r>
              <w:rPr>
                <w:sz w:val="18"/>
                <w:szCs w:val="18"/>
              </w:rPr>
              <w:t xml:space="preserve">Internal broadcast</w:t>
            </w:r>
          </w:p>
        </w:tc>
      </w:tr>
      <w:tr>
        <w:tc>
          <w:tcPr>
            <w:tcW w:type="dxa" w:w="1986"/>
            <w:tcMar>
              <w:top w:type="dxa" w:w="50"/>
              <w:left w:type="dxa" w:w="80"/>
              <w:bottom w:type="dxa" w:w="50"/>
              <w:right w:type="dxa" w:w="80"/>
            </w:tcMar>
          </w:tcPr>
          <w:p>
            <w:pPr>
              <w:spacing w:after="20" w:line="240"/>
            </w:pPr>
            <w:r>
              <w:rPr>
                <w:sz w:val="18"/>
                <w:szCs w:val="18"/>
              </w:rPr>
              <w:t xml:space="preserve">Affected users</w:t>
            </w:r>
          </w:p>
        </w:tc>
        <w:tc>
          <w:tcPr>
            <w:tcW w:type="dxa" w:w="1805"/>
            <w:tcMar>
              <w:top w:type="dxa" w:w="50"/>
              <w:left w:type="dxa" w:w="80"/>
              <w:bottom w:type="dxa" w:w="50"/>
              <w:right w:type="dxa" w:w="80"/>
            </w:tcMar>
          </w:tcPr>
          <w:p>
            <w:pPr>
              <w:spacing w:after="20" w:line="240"/>
            </w:pPr>
            <w:r>
              <w:rPr>
                <w:sz w:val="18"/>
                <w:szCs w:val="18"/>
              </w:rPr>
              <w:t xml:space="preserve">Comms + Support</w:t>
            </w:r>
          </w:p>
        </w:tc>
        <w:tc>
          <w:tcPr>
            <w:tcW w:type="dxa" w:w="2347"/>
            <w:tcMar>
              <w:top w:type="dxa" w:w="50"/>
              <w:left w:type="dxa" w:w="80"/>
              <w:bottom w:type="dxa" w:w="50"/>
              <w:right w:type="dxa" w:w="80"/>
            </w:tcMar>
          </w:tcPr>
          <w:p>
            <w:pPr>
              <w:spacing w:after="20" w:line="240"/>
            </w:pPr>
            <w:r>
              <w:rPr>
                <w:sz w:val="18"/>
                <w:szCs w:val="18"/>
              </w:rPr>
              <w:t xml:space="preserve">Legal + Comms lead</w:t>
            </w:r>
          </w:p>
        </w:tc>
        <w:tc>
          <w:tcPr>
            <w:tcW w:type="dxa" w:w="2888"/>
            <w:tcMar>
              <w:top w:type="dxa" w:w="50"/>
              <w:left w:type="dxa" w:w="80"/>
              <w:bottom w:type="dxa" w:w="50"/>
              <w:right w:type="dxa" w:w="80"/>
            </w:tcMar>
          </w:tcPr>
          <w:p>
            <w:pPr>
              <w:spacing w:after="20" w:line="240"/>
            </w:pPr>
            <w:r>
              <w:rPr>
                <w:sz w:val="18"/>
                <w:szCs w:val="18"/>
              </w:rPr>
              <w:t xml:space="preserve">Direct notice; support macros</w:t>
            </w:r>
          </w:p>
        </w:tc>
      </w:tr>
      <w:tr>
        <w:tc>
          <w:tcPr>
            <w:tcW w:type="dxa" w:w="1986"/>
            <w:shd w:fill="F2F6FB" w:color="auto" w:val="clear"/>
            <w:tcMar>
              <w:top w:type="dxa" w:w="50"/>
              <w:left w:type="dxa" w:w="80"/>
              <w:bottom w:type="dxa" w:w="50"/>
              <w:right w:type="dxa" w:w="80"/>
            </w:tcMar>
          </w:tcPr>
          <w:p>
            <w:pPr>
              <w:spacing w:after="20" w:line="240"/>
            </w:pPr>
            <w:r>
              <w:rPr>
                <w:sz w:val="18"/>
                <w:szCs w:val="18"/>
              </w:rPr>
              <w:t xml:space="preserve">All users / public</w:t>
            </w:r>
          </w:p>
        </w:tc>
        <w:tc>
          <w:tcPr>
            <w:tcW w:type="dxa" w:w="1805"/>
            <w:shd w:fill="F2F6FB" w:color="auto" w:val="clear"/>
            <w:tcMar>
              <w:top w:type="dxa" w:w="50"/>
              <w:left w:type="dxa" w:w="80"/>
              <w:bottom w:type="dxa" w:w="50"/>
              <w:right w:type="dxa" w:w="80"/>
            </w:tcMar>
          </w:tcPr>
          <w:p>
            <w:pPr>
              <w:spacing w:after="20" w:line="240"/>
            </w:pPr>
            <w:r>
              <w:rPr>
                <w:sz w:val="18"/>
                <w:szCs w:val="18"/>
              </w:rPr>
              <w:t xml:space="preserve">Comms</w:t>
            </w:r>
          </w:p>
        </w:tc>
        <w:tc>
          <w:tcPr>
            <w:tcW w:type="dxa" w:w="2347"/>
            <w:shd w:fill="F2F6FB" w:color="auto" w:val="clear"/>
            <w:tcMar>
              <w:top w:type="dxa" w:w="50"/>
              <w:left w:type="dxa" w:w="80"/>
              <w:bottom w:type="dxa" w:w="50"/>
              <w:right w:type="dxa" w:w="80"/>
            </w:tcMar>
          </w:tcPr>
          <w:p>
            <w:pPr>
              <w:spacing w:after="20" w:line="240"/>
            </w:pPr>
            <w:r>
              <w:rPr>
                <w:sz w:val="18"/>
                <w:szCs w:val="18"/>
              </w:rPr>
              <w:t xml:space="preserve">Executive Sponsor + Legal</w:t>
            </w:r>
          </w:p>
        </w:tc>
        <w:tc>
          <w:tcPr>
            <w:tcW w:type="dxa" w:w="2888"/>
            <w:shd w:fill="F2F6FB" w:color="auto" w:val="clear"/>
            <w:tcMar>
              <w:top w:type="dxa" w:w="50"/>
              <w:left w:type="dxa" w:w="80"/>
              <w:bottom w:type="dxa" w:w="50"/>
              <w:right w:type="dxa" w:w="80"/>
            </w:tcMar>
          </w:tcPr>
          <w:p>
            <w:pPr>
              <w:spacing w:after="20" w:line="240"/>
            </w:pPr>
            <w:r>
              <w:rPr>
                <w:sz w:val="18"/>
                <w:szCs w:val="18"/>
              </w:rPr>
              <w:t xml:space="preserve">Status page; public post</w:t>
            </w:r>
          </w:p>
        </w:tc>
      </w:tr>
      <w:tr>
        <w:tc>
          <w:tcPr>
            <w:tcW w:type="dxa" w:w="1986"/>
            <w:tcMar>
              <w:top w:type="dxa" w:w="50"/>
              <w:left w:type="dxa" w:w="80"/>
              <w:bottom w:type="dxa" w:w="50"/>
              <w:right w:type="dxa" w:w="80"/>
            </w:tcMar>
          </w:tcPr>
          <w:p>
            <w:pPr>
              <w:spacing w:after="20" w:line="240"/>
            </w:pPr>
            <w:r>
              <w:rPr>
                <w:sz w:val="18"/>
                <w:szCs w:val="18"/>
              </w:rPr>
              <w:t xml:space="preserve">Media</w:t>
            </w:r>
          </w:p>
        </w:tc>
        <w:tc>
          <w:tcPr>
            <w:tcW w:type="dxa" w:w="1805"/>
            <w:tcMar>
              <w:top w:type="dxa" w:w="50"/>
              <w:left w:type="dxa" w:w="80"/>
              <w:bottom w:type="dxa" w:w="50"/>
              <w:right w:type="dxa" w:w="80"/>
            </w:tcMar>
          </w:tcPr>
          <w:p>
            <w:pPr>
              <w:spacing w:after="20" w:line="240"/>
            </w:pPr>
            <w:r>
              <w:rPr>
                <w:sz w:val="18"/>
                <w:szCs w:val="18"/>
              </w:rPr>
              <w:t xml:space="preserve">Comms (sole voice)</w:t>
            </w:r>
          </w:p>
        </w:tc>
        <w:tc>
          <w:tcPr>
            <w:tcW w:type="dxa" w:w="2347"/>
            <w:tcMar>
              <w:top w:type="dxa" w:w="50"/>
              <w:left w:type="dxa" w:w="80"/>
              <w:bottom w:type="dxa" w:w="50"/>
              <w:right w:type="dxa" w:w="80"/>
            </w:tcMar>
          </w:tcPr>
          <w:p>
            <w:pPr>
              <w:spacing w:after="20" w:line="240"/>
            </w:pPr>
            <w:r>
              <w:rPr>
                <w:sz w:val="18"/>
                <w:szCs w:val="18"/>
              </w:rPr>
              <w:t xml:space="preserve">Executive Sponsor + Legal</w:t>
            </w:r>
          </w:p>
        </w:tc>
        <w:tc>
          <w:tcPr>
            <w:tcW w:type="dxa" w:w="2888"/>
            <w:tcMar>
              <w:top w:type="dxa" w:w="50"/>
              <w:left w:type="dxa" w:w="80"/>
              <w:bottom w:type="dxa" w:w="50"/>
              <w:right w:type="dxa" w:w="80"/>
            </w:tcMar>
          </w:tcPr>
          <w:p>
            <w:pPr>
              <w:spacing w:after="20" w:line="240"/>
            </w:pPr>
            <w:r>
              <w:rPr>
                <w:sz w:val="18"/>
                <w:szCs w:val="18"/>
              </w:rPr>
              <w:t xml:space="preserve">Press statement — </w:t>
            </w:r>
            <w:r>
              <w:rPr>
                <w:sz w:val="18"/>
                <w:szCs w:val="18"/>
              </w:rPr>
              <w:t xml:space="preserve">no one else speaks to press</w:t>
            </w:r>
          </w:p>
        </w:tc>
      </w:tr>
      <w:tr>
        <w:tc>
          <w:tcPr>
            <w:tcW w:type="dxa" w:w="1986"/>
            <w:shd w:fill="F2F6FB" w:color="auto" w:val="clear"/>
            <w:tcMar>
              <w:top w:type="dxa" w:w="50"/>
              <w:left w:type="dxa" w:w="80"/>
              <w:bottom w:type="dxa" w:w="50"/>
              <w:right w:type="dxa" w:w="80"/>
            </w:tcMar>
          </w:tcPr>
          <w:p>
            <w:pPr>
              <w:spacing w:after="20" w:line="240"/>
            </w:pPr>
            <w:r>
              <w:rPr>
                <w:sz w:val="18"/>
                <w:szCs w:val="18"/>
              </w:rPr>
              <w:t xml:space="preserve">Regulators</w:t>
            </w:r>
          </w:p>
        </w:tc>
        <w:tc>
          <w:tcPr>
            <w:tcW w:type="dxa" w:w="1805"/>
            <w:shd w:fill="F2F6FB" w:color="auto" w:val="clear"/>
            <w:tcMar>
              <w:top w:type="dxa" w:w="50"/>
              <w:left w:type="dxa" w:w="80"/>
              <w:bottom w:type="dxa" w:w="50"/>
              <w:right w:type="dxa" w:w="80"/>
            </w:tcMar>
          </w:tcPr>
          <w:p>
            <w:pPr>
              <w:spacing w:after="20" w:line="240"/>
            </w:pPr>
            <w:r>
              <w:rPr>
                <w:sz w:val="18"/>
                <w:szCs w:val="18"/>
              </w:rPr>
              <w:t xml:space="preserve">Legal</w:t>
            </w:r>
          </w:p>
        </w:tc>
        <w:tc>
          <w:tcPr>
            <w:tcW w:type="dxa" w:w="2347"/>
            <w:shd w:fill="F2F6FB" w:color="auto" w:val="clear"/>
            <w:tcMar>
              <w:top w:type="dxa" w:w="50"/>
              <w:left w:type="dxa" w:w="80"/>
              <w:bottom w:type="dxa" w:w="50"/>
              <w:right w:type="dxa" w:w="80"/>
            </w:tcMar>
          </w:tcPr>
          <w:p>
            <w:pPr>
              <w:spacing w:after="20" w:line="240"/>
            </w:pPr>
            <w:r>
              <w:rPr>
                <w:sz w:val="18"/>
                <w:szCs w:val="18"/>
              </w:rPr>
              <w:t xml:space="preserve">Legal (Privacy for data breaches)</w:t>
            </w:r>
          </w:p>
        </w:tc>
        <w:tc>
          <w:tcPr>
            <w:tcW w:type="dxa" w:w="2888"/>
            <w:shd w:fill="F2F6FB" w:color="auto" w:val="clear"/>
            <w:tcMar>
              <w:top w:type="dxa" w:w="50"/>
              <w:left w:type="dxa" w:w="80"/>
              <w:bottom w:type="dxa" w:w="50"/>
              <w:right w:type="dxa" w:w="80"/>
            </w:tcMar>
          </w:tcPr>
          <w:p>
            <w:pPr>
              <w:spacing w:after="20" w:line="240"/>
            </w:pPr>
            <w:r>
              <w:rPr>
                <w:sz w:val="18"/>
                <w:szCs w:val="18"/>
              </w:rPr>
              <w:t xml:space="preserve">Formal filing per notification clocks above</w:t>
            </w:r>
          </w:p>
        </w:tc>
      </w:tr>
      <w:tr>
        <w:tc>
          <w:tcPr>
            <w:tcW w:type="dxa" w:w="1986"/>
            <w:tcMar>
              <w:top w:type="dxa" w:w="50"/>
              <w:left w:type="dxa" w:w="80"/>
              <w:bottom w:type="dxa" w:w="50"/>
              <w:right w:type="dxa" w:w="80"/>
            </w:tcMar>
          </w:tcPr>
          <w:p>
            <w:pPr>
              <w:spacing w:after="20" w:line="240"/>
            </w:pPr>
            <w:r>
              <w:rPr>
                <w:sz w:val="18"/>
                <w:szCs w:val="18"/>
              </w:rPr>
              <w:t xml:space="preserve">Vendors (C7)</w:t>
            </w:r>
          </w:p>
        </w:tc>
        <w:tc>
          <w:tcPr>
            <w:tcW w:type="dxa" w:w="1805"/>
            <w:tcMar>
              <w:top w:type="dxa" w:w="50"/>
              <w:left w:type="dxa" w:w="80"/>
              <w:bottom w:type="dxa" w:w="50"/>
              <w:right w:type="dxa" w:w="80"/>
            </w:tcMar>
          </w:tcPr>
          <w:p>
            <w:pPr>
              <w:spacing w:after="20" w:line="240"/>
            </w:pPr>
            <w:r>
              <w:rPr>
                <w:sz w:val="18"/>
                <w:szCs w:val="18"/>
              </w:rPr>
              <w:t xml:space="preserve">Model Owner</w:t>
            </w:r>
          </w:p>
        </w:tc>
        <w:tc>
          <w:tcPr>
            <w:tcW w:type="dxa" w:w="2347"/>
            <w:tcMar>
              <w:top w:type="dxa" w:w="50"/>
              <w:left w:type="dxa" w:w="80"/>
              <w:bottom w:type="dxa" w:w="50"/>
              <w:right w:type="dxa" w:w="80"/>
            </w:tcMar>
          </w:tcPr>
          <w:p>
            <w:pPr>
              <w:spacing w:after="20" w:line="240"/>
            </w:pPr>
            <w:r>
              <w:rPr>
                <w:sz w:val="18"/>
                <w:szCs w:val="18"/>
              </w:rPr>
              <w:t xml:space="preserve">IC</w:t>
            </w:r>
          </w:p>
        </w:tc>
        <w:tc>
          <w:tcPr>
            <w:tcW w:type="dxa" w:w="2888"/>
            <w:tcMar>
              <w:top w:type="dxa" w:w="50"/>
              <w:left w:type="dxa" w:w="80"/>
              <w:bottom w:type="dxa" w:w="50"/>
              <w:right w:type="dxa" w:w="80"/>
            </w:tcMar>
          </w:tcPr>
          <w:p>
            <w:pPr>
              <w:spacing w:after="20" w:line="240"/>
            </w:pPr>
            <w:r>
              <w:rPr>
                <w:sz w:val="18"/>
                <w:szCs w:val="18"/>
              </w:rPr>
              <w:t xml:space="preserve">Vendor incident-SLA channel</w:t>
            </w:r>
          </w:p>
        </w:tc>
      </w:tr>
    </w:tbl>
    <w:p>
      <w:pPr>
        <w:spacing w:after="120"/>
      </w:pPr>
    </w:p>
    <w:p>
      <w:pPr>
        <w:spacing w:after="120" w:line="276"/>
      </w:pPr>
      <w:r>
        <w:t xml:space="preserve">Incident records, evidence, and communications drafts are classified </w:t>
      </w:r>
      <w:r>
        <w:rPr>
          <w:b/>
          <w:bCs/>
        </w:rPr>
        <w:t xml:space="preserve">Confidential — Incident</w:t>
      </w:r>
      <w:r>
        <w:t xml:space="preserve"> by default; sharing beyond this matrix requires Legal approval.</w:t>
      </w:r>
    </w:p>
    <w:p>
      <w:pPr>
        <w:pStyle w:val="Heading2"/>
        <w:spacing w:after="120" w:before="260"/>
      </w:pPr>
      <w:r>
        <w:t xml:space="preserve">6.4 Containment &amp; Response</w:t>
      </w:r>
    </w:p>
    <w:p>
      <w:pPr>
        <w:spacing w:after="120" w:line="276"/>
      </w:pPr>
      <w:r>
        <w:rPr>
          <w:b/>
          <w:bCs/>
        </w:rPr>
        <w:t xml:space="preserve">Objective: stop the harm first.</w:t>
      </w:r>
      <w:r>
        <w:t xml:space="preserve"> Containment is decoupled from diagnosis — you do not need to know </w:t>
      </w:r>
      <w:r>
        <w:rPr>
          <w:i/>
          <w:iCs/>
        </w:rPr>
        <w:t xml:space="preserve">why</w:t>
      </w:r>
      <w:r>
        <w:t xml:space="preserve"> the model is misbehaving to stop it from misbehaving. The IC owns the containment decision; the Model Owner validates technical feasibility; disputes go to the Executive Sponsor (safety outranks revenue by default).</w:t>
      </w:r>
    </w:p>
    <w:p>
      <w:pPr>
        <w:spacing w:after="120" w:line="276"/>
      </w:pPr>
      <w:r>
        <w:rPr>
          <w:b/>
          <w:bCs/>
        </w:rPr>
        <w:t xml:space="preserve">Containment options ladder</w:t>
      </w:r>
      <w:r>
        <w:t xml:space="preserve"> (least to most disruptive):</w:t>
      </w:r>
    </w:p>
    <w:p>
      <w:pPr>
        <w:pStyle w:val="ListParagraph"/>
        <w:numPr>
          <w:ilvl w:val="0"/>
          <w:numId w:val="5"/>
        </w:numPr>
        <w:spacing w:after="80" w:line="276"/>
      </w:pPr>
      <w:r>
        <w:t xml:space="preserve">Tighten output filters / guardrail thresholds</w:t>
      </w:r>
    </w:p>
    <w:p>
      <w:pPr>
        <w:pStyle w:val="ListParagraph"/>
        <w:numPr>
          <w:ilvl w:val="0"/>
          <w:numId w:val="5"/>
        </w:numPr>
        <w:spacing w:after="80" w:line="276"/>
      </w:pPr>
      <w:r>
        <w:t xml:space="preserve">Disable specific capabilities (tool access, retrieval sources, response topics)</w:t>
      </w:r>
    </w:p>
    <w:p>
      <w:pPr>
        <w:pStyle w:val="ListParagraph"/>
        <w:numPr>
          <w:ilvl w:val="0"/>
          <w:numId w:val="5"/>
        </w:numPr>
        <w:spacing w:after="80" w:line="276"/>
      </w:pPr>
      <w:r>
        <w:t xml:space="preserve">Rate-limit or restrict affected user segments / transaction types</w:t>
      </w:r>
    </w:p>
    <w:p>
      <w:pPr>
        <w:pStyle w:val="ListParagraph"/>
        <w:numPr>
          <w:ilvl w:val="0"/>
          <w:numId w:val="5"/>
        </w:numPr>
        <w:spacing w:after="80" w:line="276"/>
      </w:pPr>
      <w:r>
        <w:t xml:space="preserve">Roll back to last known-good model/prompt/config version</w:t>
      </w:r>
    </w:p>
    <w:p>
      <w:pPr>
        <w:pStyle w:val="ListParagraph"/>
        <w:numPr>
          <w:ilvl w:val="0"/>
          <w:numId w:val="5"/>
        </w:numPr>
        <w:spacing w:after="80" w:line="276"/>
      </w:pPr>
      <w:r>
        <w:t xml:space="preserve">Degrade to human-in-the-loop (model advises, human decides)</w:t>
      </w:r>
    </w:p>
    <w:p>
      <w:pPr>
        <w:pStyle w:val="ListParagraph"/>
        <w:numPr>
          <w:ilvl w:val="0"/>
          <w:numId w:val="5"/>
        </w:numPr>
        <w:spacing w:after="80" w:line="276"/>
      </w:pPr>
      <w:r>
        <w:rPr>
          <w:b/>
          <w:bCs/>
        </w:rPr>
        <w:t xml:space="preserve">Kill switch:</w:t>
      </w:r>
      <w:r>
        <w:t xml:space="preserve"> disable the AI system entirely, fail over to manual process</w:t>
      </w:r>
    </w:p>
    <w:p>
      <w:pPr>
        <w:spacing w:after="120" w:line="276"/>
      </w:pPr>
      <w:r>
        <w:t xml:space="preserve">Every production AI system at Meridian </w:t>
      </w:r>
      <w:r>
        <w:rPr>
          <w:b/>
          <w:bCs/>
        </w:rPr>
        <w:t xml:space="preserve">must have options 4–6 tested quarterly</w:t>
      </w:r>
      <w:r>
        <w:t xml:space="preserve"> (this is the operational meaning of NIST AI RMF MANAGE 2.4). A kill switch that has never been pulled in an exercise is a hypothesis, not a control.</w:t>
      </w:r>
    </w:p>
    <w:p>
      <w:pPr>
        <w:spacing w:after="120" w:line="276"/>
      </w:pPr>
      <w:r>
        <w:rPr>
          <w:b/>
          <w:bCs/>
        </w:rPr>
        <w:t xml:space="preserve">Containment SLAs and targets: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3610"/>
        <w:gridCol w:w="3610"/>
      </w:tblGrid>
      <w:tr>
        <w:trPr>
          <w:tblHeader/>
        </w:trPr>
        <w:tc>
          <w:tcPr>
            <w:tcW w:type="dxa" w:w="1805"/>
            <w:shd w:fill="1F3864" w:color="auto" w:val="clear"/>
            <w:tcMar>
              <w:top w:type="dxa" w:w="60"/>
              <w:left w:type="dxa" w:w="80"/>
              <w:bottom w:type="dxa" w:w="60"/>
              <w:right w:type="dxa" w:w="80"/>
            </w:tcMar>
            <w:vAlign w:val="center"/>
          </w:tcPr>
          <w:p>
            <w:pPr>
              <w:spacing w:after="20" w:line="240"/>
              <w:jc w:val="center"/>
            </w:pPr>
            <w:r>
              <w:rPr>
                <w:b/>
                <w:bCs/>
                <w:color w:val="FFFFFF"/>
                <w:sz w:val="18"/>
                <w:szCs w:val="18"/>
              </w:rPr>
              <w:t xml:space="preserve">Severity</w:t>
            </w:r>
          </w:p>
        </w:tc>
        <w:tc>
          <w:tcPr>
            <w:tcW w:type="dxa" w:w="3610"/>
            <w:shd w:fill="1F3864" w:color="auto" w:val="clear"/>
            <w:tcMar>
              <w:top w:type="dxa" w:w="60"/>
              <w:left w:type="dxa" w:w="80"/>
              <w:bottom w:type="dxa" w:w="60"/>
              <w:right w:type="dxa" w:w="80"/>
            </w:tcMar>
            <w:vAlign w:val="center"/>
          </w:tcPr>
          <w:p>
            <w:pPr>
              <w:spacing w:after="20" w:line="240"/>
            </w:pPr>
            <w:r>
              <w:rPr>
                <w:b/>
                <w:bCs/>
                <w:color w:val="FFFFFF"/>
                <w:sz w:val="18"/>
                <w:szCs w:val="18"/>
              </w:rPr>
              <w:t xml:space="preserve">Containment initiated (hard SLA)</w:t>
            </w:r>
          </w:p>
        </w:tc>
        <w:tc>
          <w:tcPr>
            <w:tcW w:type="dxa" w:w="3610"/>
            <w:shd w:fill="1F3864" w:color="auto" w:val="clear"/>
            <w:tcMar>
              <w:top w:type="dxa" w:w="60"/>
              <w:left w:type="dxa" w:w="80"/>
              <w:bottom w:type="dxa" w:w="60"/>
              <w:right w:type="dxa" w:w="80"/>
            </w:tcMar>
            <w:vAlign w:val="center"/>
          </w:tcPr>
          <w:p>
            <w:pPr>
              <w:spacing w:after="20" w:line="240"/>
            </w:pPr>
            <w:r>
              <w:rPr>
                <w:b/>
                <w:bCs/>
                <w:color w:val="FFFFFF"/>
                <w:sz w:val="18"/>
                <w:szCs w:val="18"/>
              </w:rPr>
              <w:t xml:space="preserve">Harm stopped (target)</w:t>
            </w:r>
          </w:p>
        </w:tc>
      </w:tr>
      <w:tr>
        <w:tc>
          <w:tcPr>
            <w:tcW w:type="dxa" w:w="1805"/>
            <w:tcMar>
              <w:top w:type="dxa" w:w="50"/>
              <w:left w:type="dxa" w:w="80"/>
              <w:bottom w:type="dxa" w:w="50"/>
              <w:right w:type="dxa" w:w="80"/>
            </w:tcMar>
          </w:tcPr>
          <w:p>
            <w:pPr>
              <w:spacing w:after="20" w:line="240"/>
              <w:jc w:val="center"/>
            </w:pPr>
            <w:r>
              <w:rPr>
                <w:sz w:val="18"/>
                <w:szCs w:val="18"/>
              </w:rPr>
              <w:t xml:space="preserve">SEV-1</w:t>
            </w:r>
          </w:p>
        </w:tc>
        <w:tc>
          <w:tcPr>
            <w:tcW w:type="dxa" w:w="3610"/>
            <w:tcMar>
              <w:top w:type="dxa" w:w="50"/>
              <w:left w:type="dxa" w:w="80"/>
              <w:bottom w:type="dxa" w:w="50"/>
              <w:right w:type="dxa" w:w="80"/>
            </w:tcMar>
          </w:tcPr>
          <w:p>
            <w:pPr>
              <w:spacing w:after="20" w:line="240"/>
            </w:pPr>
            <w:r>
              <w:rPr>
                <w:sz w:val="18"/>
                <w:szCs w:val="18"/>
              </w:rPr>
              <w:t xml:space="preserve">≤ 30 min from declaration</w:t>
            </w:r>
          </w:p>
        </w:tc>
        <w:tc>
          <w:tcPr>
            <w:tcW w:type="dxa" w:w="3610"/>
            <w:tcMar>
              <w:top w:type="dxa" w:w="50"/>
              <w:left w:type="dxa" w:w="80"/>
              <w:bottom w:type="dxa" w:w="50"/>
              <w:right w:type="dxa" w:w="80"/>
            </w:tcMar>
          </w:tcPr>
          <w:p>
            <w:pPr>
              <w:spacing w:after="20" w:line="240"/>
            </w:pPr>
            <w:r>
              <w:rPr>
                <w:sz w:val="18"/>
                <w:szCs w:val="18"/>
              </w:rPr>
              <w:t xml:space="preserve">≤ 4 h</w:t>
            </w:r>
          </w:p>
        </w:tc>
      </w:tr>
      <w:tr>
        <w:tc>
          <w:tcPr>
            <w:tcW w:type="dxa" w:w="1805"/>
            <w:shd w:fill="F2F6FB" w:color="auto" w:val="clear"/>
            <w:tcMar>
              <w:top w:type="dxa" w:w="50"/>
              <w:left w:type="dxa" w:w="80"/>
              <w:bottom w:type="dxa" w:w="50"/>
              <w:right w:type="dxa" w:w="80"/>
            </w:tcMar>
          </w:tcPr>
          <w:p>
            <w:pPr>
              <w:spacing w:after="20" w:line="240"/>
              <w:jc w:val="center"/>
            </w:pPr>
            <w:r>
              <w:rPr>
                <w:sz w:val="18"/>
                <w:szCs w:val="18"/>
              </w:rPr>
              <w:t xml:space="preserve">SEV-2</w:t>
            </w:r>
          </w:p>
        </w:tc>
        <w:tc>
          <w:tcPr>
            <w:tcW w:type="dxa" w:w="3610"/>
            <w:shd w:fill="F2F6FB" w:color="auto" w:val="clear"/>
            <w:tcMar>
              <w:top w:type="dxa" w:w="50"/>
              <w:left w:type="dxa" w:w="80"/>
              <w:bottom w:type="dxa" w:w="50"/>
              <w:right w:type="dxa" w:w="80"/>
            </w:tcMar>
          </w:tcPr>
          <w:p>
            <w:pPr>
              <w:spacing w:after="20" w:line="240"/>
            </w:pPr>
            <w:r>
              <w:rPr>
                <w:sz w:val="18"/>
                <w:szCs w:val="18"/>
              </w:rPr>
              <w:t xml:space="preserve">≤ 2 h</w:t>
            </w:r>
          </w:p>
        </w:tc>
        <w:tc>
          <w:tcPr>
            <w:tcW w:type="dxa" w:w="3610"/>
            <w:shd w:fill="F2F6FB" w:color="auto" w:val="clear"/>
            <w:tcMar>
              <w:top w:type="dxa" w:w="50"/>
              <w:left w:type="dxa" w:w="80"/>
              <w:bottom w:type="dxa" w:w="50"/>
              <w:right w:type="dxa" w:w="80"/>
            </w:tcMar>
          </w:tcPr>
          <w:p>
            <w:pPr>
              <w:spacing w:after="20" w:line="240"/>
            </w:pPr>
            <w:r>
              <w:rPr>
                <w:sz w:val="18"/>
                <w:szCs w:val="18"/>
              </w:rPr>
              <w:t xml:space="preserve">≤ 1 business day</w:t>
            </w:r>
          </w:p>
        </w:tc>
      </w:tr>
      <w:tr>
        <w:tc>
          <w:tcPr>
            <w:tcW w:type="dxa" w:w="1805"/>
            <w:tcMar>
              <w:top w:type="dxa" w:w="50"/>
              <w:left w:type="dxa" w:w="80"/>
              <w:bottom w:type="dxa" w:w="50"/>
              <w:right w:type="dxa" w:w="80"/>
            </w:tcMar>
          </w:tcPr>
          <w:p>
            <w:pPr>
              <w:spacing w:after="20" w:line="240"/>
              <w:jc w:val="center"/>
            </w:pPr>
            <w:r>
              <w:rPr>
                <w:sz w:val="18"/>
                <w:szCs w:val="18"/>
              </w:rPr>
              <w:t xml:space="preserve">SEV-3</w:t>
            </w:r>
          </w:p>
        </w:tc>
        <w:tc>
          <w:tcPr>
            <w:tcW w:type="dxa" w:w="3610"/>
            <w:tcMar>
              <w:top w:type="dxa" w:w="50"/>
              <w:left w:type="dxa" w:w="80"/>
              <w:bottom w:type="dxa" w:w="50"/>
              <w:right w:type="dxa" w:w="80"/>
            </w:tcMar>
          </w:tcPr>
          <w:p>
            <w:pPr>
              <w:spacing w:after="20" w:line="240"/>
            </w:pPr>
            <w:r>
              <w:rPr>
                <w:sz w:val="18"/>
                <w:szCs w:val="18"/>
              </w:rPr>
              <w:t xml:space="preserve">≤ 1 business day</w:t>
            </w:r>
          </w:p>
        </w:tc>
        <w:tc>
          <w:tcPr>
            <w:tcW w:type="dxa" w:w="3610"/>
            <w:tcMar>
              <w:top w:type="dxa" w:w="50"/>
              <w:left w:type="dxa" w:w="80"/>
              <w:bottom w:type="dxa" w:w="50"/>
              <w:right w:type="dxa" w:w="80"/>
            </w:tcMar>
          </w:tcPr>
          <w:p>
            <w:pPr>
              <w:spacing w:after="20" w:line="240"/>
            </w:pPr>
            <w:r>
              <w:rPr>
                <w:sz w:val="18"/>
                <w:szCs w:val="18"/>
              </w:rPr>
              <w:t xml:space="preserve">Per category-owner plan</w:t>
            </w:r>
          </w:p>
        </w:tc>
      </w:tr>
    </w:tbl>
    <w:p>
      <w:pPr>
        <w:spacing w:after="120"/>
      </w:pPr>
    </w:p>
    <w:p>
      <w:pPr>
        <w:spacing w:after="120" w:line="276"/>
      </w:pPr>
      <w:r>
        <w:t xml:space="preserve">“Initiated” means the first ladder action is executed — that is a hard SLA. “Harm stopped” is a </w:t>
      </w:r>
      <w:r>
        <w:rPr>
          <w:b/>
          <w:bCs/>
        </w:rPr>
        <w:t xml:space="preserve">target, not a guarantee</w:t>
      </w:r>
      <w:r>
        <w:t xml:space="preserve">: no one can promise a deadline for containing the not-yet-understood, and pretending otherwise produces paper compliance. Instead, missing the target has a defined consequence — the incident escalates one severity level and the Executive Sponsor engages directly.</w:t>
      </w:r>
    </w:p>
    <w:p>
      <w:pPr>
        <w:spacing w:after="120" w:line="276"/>
      </w:pPr>
      <w:r>
        <w:rPr>
          <w:b/>
          <w:bCs/>
        </w:rPr>
        <w:t xml:space="preserve">Category-specific first moves: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34"/>
        <w:gridCol w:w="3249"/>
        <w:gridCol w:w="4242"/>
      </w:tblGrid>
      <w:tr>
        <w:trPr>
          <w:tblHeader/>
        </w:trPr>
        <w:tc>
          <w:tcPr>
            <w:tcW w:type="dxa" w:w="1534"/>
            <w:shd w:fill="1F3864" w:color="auto" w:val="clear"/>
            <w:tcMar>
              <w:top w:type="dxa" w:w="60"/>
              <w:left w:type="dxa" w:w="80"/>
              <w:bottom w:type="dxa" w:w="60"/>
              <w:right w:type="dxa" w:w="80"/>
            </w:tcMar>
            <w:vAlign w:val="center"/>
          </w:tcPr>
          <w:p>
            <w:pPr>
              <w:spacing w:after="20" w:line="240"/>
            </w:pPr>
            <w:r>
              <w:rPr>
                <w:b/>
                <w:bCs/>
                <w:color w:val="FFFFFF"/>
                <w:sz w:val="18"/>
                <w:szCs w:val="18"/>
              </w:rPr>
              <w:t xml:space="preserve">Category</w:t>
            </w:r>
          </w:p>
        </w:tc>
        <w:tc>
          <w:tcPr>
            <w:tcW w:type="dxa" w:w="3249"/>
            <w:shd w:fill="1F3864" w:color="auto" w:val="clear"/>
            <w:tcMar>
              <w:top w:type="dxa" w:w="60"/>
              <w:left w:type="dxa" w:w="80"/>
              <w:bottom w:type="dxa" w:w="60"/>
              <w:right w:type="dxa" w:w="80"/>
            </w:tcMar>
            <w:vAlign w:val="center"/>
          </w:tcPr>
          <w:p>
            <w:pPr>
              <w:spacing w:after="20" w:line="240"/>
            </w:pPr>
            <w:r>
              <w:rPr>
                <w:b/>
                <w:bCs/>
                <w:color w:val="FFFFFF"/>
                <w:sz w:val="18"/>
                <w:szCs w:val="18"/>
              </w:rPr>
              <w:t xml:space="preserve">Default containment</w:t>
            </w:r>
          </w:p>
        </w:tc>
        <w:tc>
          <w:tcPr>
            <w:tcW w:type="dxa" w:w="4242"/>
            <w:shd w:fill="1F3864" w:color="auto" w:val="clear"/>
            <w:tcMar>
              <w:top w:type="dxa" w:w="60"/>
              <w:left w:type="dxa" w:w="80"/>
              <w:bottom w:type="dxa" w:w="60"/>
              <w:right w:type="dxa" w:w="80"/>
            </w:tcMar>
            <w:vAlign w:val="center"/>
          </w:tcPr>
          <w:p>
            <w:pPr>
              <w:spacing w:after="20" w:line="240"/>
            </w:pPr>
            <w:r>
              <w:rPr>
                <w:b/>
                <w:bCs/>
                <w:color w:val="FFFFFF"/>
                <w:sz w:val="18"/>
                <w:szCs w:val="18"/>
              </w:rPr>
              <w:t xml:space="preserve">Category-specific cautions</w:t>
            </w:r>
          </w:p>
        </w:tc>
      </w:tr>
      <w:tr>
        <w:tc>
          <w:tcPr>
            <w:tcW w:type="dxa" w:w="1534"/>
            <w:tcMar>
              <w:top w:type="dxa" w:w="50"/>
              <w:left w:type="dxa" w:w="80"/>
              <w:bottom w:type="dxa" w:w="50"/>
              <w:right w:type="dxa" w:w="80"/>
            </w:tcMar>
          </w:tcPr>
          <w:p>
            <w:pPr>
              <w:spacing w:after="20" w:line="240"/>
            </w:pPr>
            <w:r>
              <w:rPr>
                <w:sz w:val="18"/>
                <w:szCs w:val="18"/>
              </w:rPr>
              <w:t xml:space="preserve">C1 Harmful output</w:t>
            </w:r>
          </w:p>
        </w:tc>
        <w:tc>
          <w:tcPr>
            <w:tcW w:type="dxa" w:w="3249"/>
            <w:tcMar>
              <w:top w:type="dxa" w:w="50"/>
              <w:left w:type="dxa" w:w="80"/>
              <w:bottom w:type="dxa" w:w="50"/>
              <w:right w:type="dxa" w:w="80"/>
            </w:tcMar>
          </w:tcPr>
          <w:p>
            <w:pPr>
              <w:spacing w:after="20" w:line="240"/>
            </w:pPr>
            <w:r>
              <w:rPr>
                <w:sz w:val="18"/>
                <w:szCs w:val="18"/>
              </w:rPr>
              <w:t xml:space="preserve">Filter patch or capability disable; kill switch if harm is severe</w:t>
            </w:r>
          </w:p>
        </w:tc>
        <w:tc>
          <w:tcPr>
            <w:tcW w:type="dxa" w:w="4242"/>
            <w:tcMar>
              <w:top w:type="dxa" w:w="50"/>
              <w:left w:type="dxa" w:w="80"/>
              <w:bottom w:type="dxa" w:w="50"/>
              <w:right w:type="dxa" w:w="80"/>
            </w:tcMar>
          </w:tcPr>
          <w:p>
            <w:pPr>
              <w:spacing w:after="20" w:line="240"/>
            </w:pPr>
            <w:r>
              <w:rPr>
                <w:sz w:val="18"/>
                <w:szCs w:val="18"/>
              </w:rPr>
              <w:t xml:space="preserve">Search logs for the full output class, not the reported instance; contact affected users where output was actionable</w:t>
            </w:r>
          </w:p>
        </w:tc>
      </w:tr>
      <w:tr>
        <w:tc>
          <w:tcPr>
            <w:tcW w:type="dxa" w:w="1534"/>
            <w:shd w:fill="F2F6FB" w:color="auto" w:val="clear"/>
            <w:tcMar>
              <w:top w:type="dxa" w:w="50"/>
              <w:left w:type="dxa" w:w="80"/>
              <w:bottom w:type="dxa" w:w="50"/>
              <w:right w:type="dxa" w:w="80"/>
            </w:tcMar>
          </w:tcPr>
          <w:p>
            <w:pPr>
              <w:spacing w:after="20" w:line="240"/>
            </w:pPr>
            <w:r>
              <w:rPr>
                <w:sz w:val="18"/>
                <w:szCs w:val="18"/>
              </w:rPr>
              <w:t xml:space="preserve">C2 Performance failure</w:t>
            </w:r>
          </w:p>
        </w:tc>
        <w:tc>
          <w:tcPr>
            <w:tcW w:type="dxa" w:w="3249"/>
            <w:shd w:fill="F2F6FB" w:color="auto" w:val="clear"/>
            <w:tcMar>
              <w:top w:type="dxa" w:w="50"/>
              <w:left w:type="dxa" w:w="80"/>
              <w:bottom w:type="dxa" w:w="50"/>
              <w:right w:type="dxa" w:w="80"/>
            </w:tcMar>
          </w:tcPr>
          <w:p>
            <w:pPr>
              <w:spacing w:after="20" w:line="240"/>
            </w:pPr>
            <w:r>
              <w:rPr>
                <w:sz w:val="18"/>
                <w:szCs w:val="18"/>
              </w:rPr>
              <w:t xml:space="preserve">Rollback to last known-good; human-in-the-loop for decisions in flight</w:t>
            </w:r>
          </w:p>
        </w:tc>
        <w:tc>
          <w:tcPr>
            <w:tcW w:type="dxa" w:w="4242"/>
            <w:shd w:fill="F2F6FB" w:color="auto" w:val="clear"/>
            <w:tcMar>
              <w:top w:type="dxa" w:w="50"/>
              <w:left w:type="dxa" w:w="80"/>
              <w:bottom w:type="dxa" w:w="50"/>
              <w:right w:type="dxa" w:w="80"/>
            </w:tcMar>
          </w:tcPr>
          <w:p>
            <w:pPr>
              <w:spacing w:after="20" w:line="240"/>
            </w:pPr>
            <w:r>
              <w:rPr>
                <w:sz w:val="18"/>
                <w:szCs w:val="18"/>
              </w:rPr>
              <w:t xml:space="preserve">For </w:t>
            </w:r>
            <w:r>
              <w:rPr>
                <w:i/>
                <w:iCs/>
                <w:sz w:val="18"/>
                <w:szCs w:val="18"/>
              </w:rPr>
              <w:t xml:space="preserve">silent</w:t>
            </w:r>
            <w:r>
              <w:rPr>
                <w:sz w:val="18"/>
                <w:szCs w:val="18"/>
              </w:rPr>
              <w:t xml:space="preserve"> failures, quantify the exposure window; queue affected decisions (e.g., unfrozen fraud, wrongly frozen accounts) for remediation sweep</w:t>
            </w:r>
          </w:p>
        </w:tc>
      </w:tr>
      <w:tr>
        <w:tc>
          <w:tcPr>
            <w:tcW w:type="dxa" w:w="1534"/>
            <w:tcMar>
              <w:top w:type="dxa" w:w="50"/>
              <w:left w:type="dxa" w:w="80"/>
              <w:bottom w:type="dxa" w:w="50"/>
              <w:right w:type="dxa" w:w="80"/>
            </w:tcMar>
          </w:tcPr>
          <w:p>
            <w:pPr>
              <w:spacing w:after="20" w:line="240"/>
            </w:pPr>
            <w:r>
              <w:rPr>
                <w:sz w:val="18"/>
                <w:szCs w:val="18"/>
              </w:rPr>
              <w:t xml:space="preserve">C3 Data &amp; privacy</w:t>
            </w:r>
          </w:p>
        </w:tc>
        <w:tc>
          <w:tcPr>
            <w:tcW w:type="dxa" w:w="3249"/>
            <w:tcMar>
              <w:top w:type="dxa" w:w="50"/>
              <w:left w:type="dxa" w:w="80"/>
              <w:bottom w:type="dxa" w:w="50"/>
              <w:right w:type="dxa" w:w="80"/>
            </w:tcMar>
          </w:tcPr>
          <w:p>
            <w:pPr>
              <w:spacing w:after="20" w:line="240"/>
            </w:pPr>
            <w:r>
              <w:rPr>
                <w:sz w:val="18"/>
                <w:szCs w:val="18"/>
              </w:rPr>
              <w:t xml:space="preserve">Disable the leaking path (retrieval source, logging sink); preserve evidence</w:t>
            </w:r>
          </w:p>
        </w:tc>
        <w:tc>
          <w:tcPr>
            <w:tcW w:type="dxa" w:w="4242"/>
            <w:tcMar>
              <w:top w:type="dxa" w:w="50"/>
              <w:left w:type="dxa" w:w="80"/>
              <w:bottom w:type="dxa" w:w="50"/>
              <w:right w:type="dxa" w:w="80"/>
            </w:tcMar>
          </w:tcPr>
          <w:p>
            <w:pPr>
              <w:spacing w:after="20" w:line="240"/>
            </w:pPr>
            <w:r>
              <w:rPr>
                <w:sz w:val="18"/>
                <w:szCs w:val="18"/>
              </w:rPr>
              <w:t xml:space="preserve">Do </w:t>
            </w:r>
            <w:r>
              <w:rPr>
                <w:sz w:val="18"/>
                <w:szCs w:val="18"/>
              </w:rPr>
              <w:t xml:space="preserve">not</w:t>
            </w:r>
            <w:r>
              <w:rPr>
                <w:sz w:val="18"/>
                <w:szCs w:val="18"/>
              </w:rPr>
              <w:t xml:space="preserve"> delete leaked-data logs before Privacy/Legal review — containment must not destroy breach-scope evidence</w:t>
            </w:r>
          </w:p>
        </w:tc>
      </w:tr>
      <w:tr>
        <w:tc>
          <w:tcPr>
            <w:tcW w:type="dxa" w:w="1534"/>
            <w:shd w:fill="F2F6FB" w:color="auto" w:val="clear"/>
            <w:tcMar>
              <w:top w:type="dxa" w:w="50"/>
              <w:left w:type="dxa" w:w="80"/>
              <w:bottom w:type="dxa" w:w="50"/>
              <w:right w:type="dxa" w:w="80"/>
            </w:tcMar>
          </w:tcPr>
          <w:p>
            <w:pPr>
              <w:spacing w:after="20" w:line="240"/>
            </w:pPr>
            <w:r>
              <w:rPr>
                <w:sz w:val="18"/>
                <w:szCs w:val="18"/>
              </w:rPr>
              <w:t xml:space="preserve">C4 Security compromise</w:t>
            </w:r>
          </w:p>
        </w:tc>
        <w:tc>
          <w:tcPr>
            <w:tcW w:type="dxa" w:w="3249"/>
            <w:shd w:fill="F2F6FB" w:color="auto" w:val="clear"/>
            <w:tcMar>
              <w:top w:type="dxa" w:w="50"/>
              <w:left w:type="dxa" w:w="80"/>
              <w:bottom w:type="dxa" w:w="50"/>
              <w:right w:type="dxa" w:w="80"/>
            </w:tcMar>
          </w:tcPr>
          <w:p>
            <w:pPr>
              <w:spacing w:after="20" w:line="240"/>
            </w:pPr>
            <w:r>
              <w:rPr>
                <w:sz w:val="18"/>
                <w:szCs w:val="18"/>
              </w:rPr>
              <w:t xml:space="preserve">Revoke/rotate credentials and tool access; isolate pipeline; treat inputs as adversarial</w:t>
            </w:r>
          </w:p>
        </w:tc>
        <w:tc>
          <w:tcPr>
            <w:tcW w:type="dxa" w:w="4242"/>
            <w:shd w:fill="F2F6FB" w:color="auto" w:val="clear"/>
            <w:tcMar>
              <w:top w:type="dxa" w:w="50"/>
              <w:left w:type="dxa" w:w="80"/>
              <w:bottom w:type="dxa" w:w="50"/>
              <w:right w:type="dxa" w:w="80"/>
            </w:tcMar>
          </w:tcPr>
          <w:p>
            <w:pPr>
              <w:spacing w:after="20" w:line="240"/>
            </w:pPr>
            <w:r>
              <w:rPr>
                <w:sz w:val="18"/>
                <w:szCs w:val="18"/>
              </w:rPr>
              <w:t xml:space="preserve">Coordinate with SecOps under Enterprise IR; assume the reported vector is not the only one</w:t>
            </w:r>
          </w:p>
        </w:tc>
      </w:tr>
      <w:tr>
        <w:tc>
          <w:tcPr>
            <w:tcW w:type="dxa" w:w="1534"/>
            <w:tcMar>
              <w:top w:type="dxa" w:w="50"/>
              <w:left w:type="dxa" w:w="80"/>
              <w:bottom w:type="dxa" w:w="50"/>
              <w:right w:type="dxa" w:w="80"/>
            </w:tcMar>
          </w:tcPr>
          <w:p>
            <w:pPr>
              <w:spacing w:after="20" w:line="240"/>
            </w:pPr>
            <w:r>
              <w:rPr>
                <w:sz w:val="18"/>
                <w:szCs w:val="18"/>
              </w:rPr>
              <w:t xml:space="preserve">C5 Bias &amp; fairness</w:t>
            </w:r>
          </w:p>
        </w:tc>
        <w:tc>
          <w:tcPr>
            <w:tcW w:type="dxa" w:w="3249"/>
            <w:tcMar>
              <w:top w:type="dxa" w:w="50"/>
              <w:left w:type="dxa" w:w="80"/>
              <w:bottom w:type="dxa" w:w="50"/>
              <w:right w:type="dxa" w:w="80"/>
            </w:tcMar>
          </w:tcPr>
          <w:p>
            <w:pPr>
              <w:spacing w:after="20" w:line="240"/>
            </w:pPr>
            <w:r>
              <w:rPr>
                <w:sz w:val="18"/>
                <w:szCs w:val="18"/>
              </w:rPr>
              <w:t xml:space="preserve">Human-in-the-loop for affected decision class; do not “quick-fix” thresholds without analysis</w:t>
            </w:r>
          </w:p>
        </w:tc>
        <w:tc>
          <w:tcPr>
            <w:tcW w:type="dxa" w:w="4242"/>
            <w:tcMar>
              <w:top w:type="dxa" w:w="50"/>
              <w:left w:type="dxa" w:w="80"/>
              <w:bottom w:type="dxa" w:w="50"/>
              <w:right w:type="dxa" w:w="80"/>
            </w:tcMar>
          </w:tcPr>
          <w:p>
            <w:pPr>
              <w:spacing w:after="20" w:line="240"/>
            </w:pPr>
            <w:r>
              <w:rPr>
                <w:sz w:val="18"/>
                <w:szCs w:val="18"/>
              </w:rPr>
              <w:t xml:space="preserve">Hasty threshold patches can shift, not remove, disparity; interim manual review protects users while RCA runs</w:t>
            </w:r>
          </w:p>
        </w:tc>
      </w:tr>
      <w:tr>
        <w:tc>
          <w:tcPr>
            <w:tcW w:type="dxa" w:w="1534"/>
            <w:shd w:fill="F2F6FB" w:color="auto" w:val="clear"/>
            <w:tcMar>
              <w:top w:type="dxa" w:w="50"/>
              <w:left w:type="dxa" w:w="80"/>
              <w:bottom w:type="dxa" w:w="50"/>
              <w:right w:type="dxa" w:w="80"/>
            </w:tcMar>
          </w:tcPr>
          <w:p>
            <w:pPr>
              <w:spacing w:after="20" w:line="240"/>
            </w:pPr>
            <w:r>
              <w:rPr>
                <w:sz w:val="18"/>
                <w:szCs w:val="18"/>
              </w:rPr>
              <w:t xml:space="preserve">C6 Misuse &amp; abuse</w:t>
            </w:r>
          </w:p>
        </w:tc>
        <w:tc>
          <w:tcPr>
            <w:tcW w:type="dxa" w:w="3249"/>
            <w:shd w:fill="F2F6FB" w:color="auto" w:val="clear"/>
            <w:tcMar>
              <w:top w:type="dxa" w:w="50"/>
              <w:left w:type="dxa" w:w="80"/>
              <w:bottom w:type="dxa" w:w="50"/>
              <w:right w:type="dxa" w:w="80"/>
            </w:tcMar>
          </w:tcPr>
          <w:p>
            <w:pPr>
              <w:spacing w:after="20" w:line="240"/>
            </w:pPr>
            <w:r>
              <w:rPr>
                <w:sz w:val="18"/>
                <w:szCs w:val="18"/>
              </w:rPr>
              <w:t xml:space="preserve">T&amp;S abuse controls: rate limits, friction, account actions on abusing cohort</w:t>
            </w:r>
          </w:p>
        </w:tc>
        <w:tc>
          <w:tcPr>
            <w:tcW w:type="dxa" w:w="4242"/>
            <w:shd w:fill="F2F6FB" w:color="auto" w:val="clear"/>
            <w:tcMar>
              <w:top w:type="dxa" w:w="50"/>
              <w:left w:type="dxa" w:w="80"/>
              <w:bottom w:type="dxa" w:w="50"/>
              <w:right w:type="dxa" w:w="80"/>
            </w:tcMar>
          </w:tcPr>
          <w:p>
            <w:pPr>
              <w:spacing w:after="20" w:line="240"/>
            </w:pPr>
            <w:r>
              <w:rPr>
                <w:sz w:val="18"/>
                <w:szCs w:val="18"/>
              </w:rPr>
              <w:t xml:space="preserve">Contain the </w:t>
            </w:r>
            <w:r>
              <w:rPr>
                <w:i/>
                <w:iCs/>
                <w:sz w:val="18"/>
                <w:szCs w:val="18"/>
              </w:rPr>
              <w:t xml:space="preserve">abusers</w:t>
            </w:r>
            <w:r>
              <w:rPr>
                <w:sz w:val="18"/>
                <w:szCs w:val="18"/>
              </w:rPr>
              <w:t xml:space="preserve">, not just the model; feed patterns to fraud ops</w:t>
            </w:r>
          </w:p>
        </w:tc>
      </w:tr>
      <w:tr>
        <w:tc>
          <w:tcPr>
            <w:tcW w:type="dxa" w:w="1534"/>
            <w:tcMar>
              <w:top w:type="dxa" w:w="50"/>
              <w:left w:type="dxa" w:w="80"/>
              <w:bottom w:type="dxa" w:w="50"/>
              <w:right w:type="dxa" w:w="80"/>
            </w:tcMar>
          </w:tcPr>
          <w:p>
            <w:pPr>
              <w:spacing w:after="20" w:line="240"/>
            </w:pPr>
            <w:r>
              <w:rPr>
                <w:sz w:val="18"/>
                <w:szCs w:val="18"/>
              </w:rPr>
              <w:t xml:space="preserve">C7 Third-party</w:t>
            </w:r>
          </w:p>
        </w:tc>
        <w:tc>
          <w:tcPr>
            <w:tcW w:type="dxa" w:w="3249"/>
            <w:tcMar>
              <w:top w:type="dxa" w:w="50"/>
              <w:left w:type="dxa" w:w="80"/>
              <w:bottom w:type="dxa" w:w="50"/>
              <w:right w:type="dxa" w:w="80"/>
            </w:tcMar>
          </w:tcPr>
          <w:p>
            <w:pPr>
              <w:spacing w:after="20" w:line="240"/>
            </w:pPr>
            <w:r>
              <w:rPr>
                <w:sz w:val="18"/>
                <w:szCs w:val="18"/>
              </w:rPr>
              <w:t xml:space="preserve">Pin versions; activate fallback vendor/manual path; invoke vendor incident SLA</w:t>
            </w:r>
          </w:p>
        </w:tc>
        <w:tc>
          <w:tcPr>
            <w:tcW w:type="dxa" w:w="4242"/>
            <w:tcMar>
              <w:top w:type="dxa" w:w="50"/>
              <w:left w:type="dxa" w:w="80"/>
              <w:bottom w:type="dxa" w:w="50"/>
              <w:right w:type="dxa" w:w="80"/>
            </w:tcMar>
          </w:tcPr>
          <w:p>
            <w:pPr>
              <w:spacing w:after="20" w:line="240"/>
            </w:pPr>
            <w:r>
              <w:rPr>
                <w:sz w:val="18"/>
                <w:szCs w:val="18"/>
              </w:rPr>
              <w:t xml:space="preserve">Meridian remains accountable to its users and regulators regardless of vendor fault — never wait on a vendor to begin containment</w:t>
            </w:r>
          </w:p>
        </w:tc>
      </w:tr>
    </w:tbl>
    <w:p>
      <w:pPr>
        <w:spacing w:after="120"/>
      </w:pPr>
    </w:p>
    <w:p>
      <w:pPr>
        <w:spacing w:after="120" w:line="276"/>
      </w:pPr>
      <w:r>
        <w:rPr>
          <w:b/>
          <w:bCs/>
        </w:rPr>
        <w:t xml:space="preserve">C7 supplement — contractual track.</w:t>
      </w:r>
      <w:r>
        <w:t xml:space="preserve"> Vendor incidents run on two tracks: the technical track above, and a contractual track activated by Legal with the Model Owner: (1) invoke the vendor's incident SLA and demand a vendor RCA; (2) exercise contractual audit/information rights; (3) verify the vendor met its own notification obligation — a missed notification is itself a PIR finding and contract-renewal input; (4) for recurring incidents, trigger the documented exit plan (ISO/IEC 42001 A.10.3). C7 incidents are </w:t>
      </w:r>
      <w:r>
        <w:rPr>
          <w:b/>
          <w:bCs/>
        </w:rPr>
        <w:t xml:space="preserve">sub-tagged by origin</w:t>
      </w:r>
      <w:r>
        <w:t xml:space="preserve"> — </w:t>
      </w:r>
      <w:r>
        <w:rPr>
          <w:i/>
          <w:iCs/>
        </w:rPr>
        <w:t xml:space="preserve">foundation model · infrastructure · model component (embeddings, vector DB, safety classifiers, OCR) · integrated tool</w:t>
      </w:r>
      <w:r>
        <w:t xml:space="preserve"> — so vendor-concentration risk becomes visible in §7 reporting.</w:t>
      </w:r>
    </w:p>
    <w:p>
      <w:pPr>
        <w:spacing w:after="120" w:line="276"/>
      </w:pPr>
      <w:r>
        <w:rPr>
          <w:b/>
          <w:bCs/>
        </w:rPr>
        <w:t xml:space="preserve">Evidence preservation (mandatory before any fix ships):</w:t>
      </w:r>
      <w:r>
        <w:t xml:space="preserve"> the behavioral snapshot — model and version IDs, system prompts and configuration, guardrail settings, the triggering inputs/outputs, retrieval context, relevant logs, and (for C4/C3) forensic copies per Enterprise IR evidence standards. Non-determinism means </w:t>
      </w:r>
      <w:r>
        <w:rPr>
          <w:i/>
          <w:iCs/>
        </w:rPr>
        <w:t xml:space="preserve">the incident state may be unreproducible after any change</w:t>
      </w:r>
      <w:r>
        <w:t xml:space="preserve">. Snapshot first, fix second.</w:t>
      </w:r>
    </w:p>
    <w:p>
      <w:pPr>
        <w:spacing w:after="120" w:line="276"/>
      </w:pPr>
      <w:r>
        <w:rPr>
          <w:b/>
          <w:bCs/>
        </w:rPr>
        <w:t xml:space="preserve">Chain of custody (mandatory for C3/C4; recommended for all SEV-1/2):</w:t>
      </w:r>
      <w:r>
        <w:t xml:space="preserve"> every evidence item is logged with an evidence ID, collector, collection timestamp, SHA-256 hash, storage location, and access log (template: Appendix A §4). In a financial-services context, evidence that cannot demonstrate custody may be unusable in regulatory proceedings — collection discipline at hour one protects options months later.</w:t>
      </w:r>
    </w:p>
    <w:p>
      <w:pPr>
        <w:spacing w:after="120" w:line="276"/>
      </w:pPr>
      <w:r>
        <w:rPr>
          <w:b/>
          <w:bCs/>
        </w:rPr>
        <w:t xml:space="preserve">Exit criterion:</w:t>
      </w:r>
      <w:r>
        <w:t xml:space="preserve"> containment is complete when harm is verifiably stopped — confirmed by monitoring, not by assumption (“we shipped the filter” is not “the outputs stopped”). The IC then formally transitions the incident from </w:t>
      </w:r>
      <w:r>
        <w:rPr>
          <w:i/>
          <w:iCs/>
        </w:rPr>
        <w:t xml:space="preserve">response</w:t>
      </w:r>
      <w:r>
        <w:t xml:space="preserve"> to </w:t>
      </w:r>
      <w:r>
        <w:rPr>
          <w:i/>
          <w:iCs/>
        </w:rPr>
        <w:t xml:space="preserve">investigation</w:t>
      </w:r>
      <w:r>
        <w:t xml:space="preserve">.</w:t>
      </w:r>
    </w:p>
    <w:p>
      <w:pPr>
        <w:pStyle w:val="Heading2"/>
        <w:spacing w:after="120" w:before="260"/>
      </w:pPr>
      <w:r>
        <w:t xml:space="preserve">6.5 Root Cause Analysis</w:t>
      </w:r>
    </w:p>
    <w:p>
      <w:pPr>
        <w:spacing w:after="120" w:line="276"/>
      </w:pPr>
      <w:r>
        <w:rPr>
          <w:b/>
          <w:bCs/>
        </w:rPr>
        <w:t xml:space="preserve">Objective:</w:t>
      </w:r>
      <w:r>
        <w:t xml:space="preserve"> understand why the incident happened and why it wasn't caught earlier, well enough that remediation prevents the </w:t>
      </w:r>
      <w:r>
        <w:rPr>
          <w:i/>
          <w:iCs/>
        </w:rPr>
        <w:t xml:space="preserve">class</w:t>
      </w:r>
      <w:r>
        <w:t xml:space="preserve">, not just the instance.</w:t>
      </w:r>
    </w:p>
    <w:p>
      <w:pPr>
        <w:spacing w:after="120" w:line="276"/>
      </w:pPr>
      <w:r>
        <w:t xml:space="preserve">Classic single-chain RCA (“5 whys”) maps poorly onto AI systems: model behavior is probabilistic, emergent from data, and often has no single defective line of code. Meridian uses </w:t>
      </w:r>
      <w:r>
        <w:rPr>
          <w:b/>
          <w:bCs/>
        </w:rPr>
        <w:t xml:space="preserve">contributing-factors analysis</w:t>
      </w:r>
      <w:r>
        <w:t xml:space="preserve"> across five layers, expecting findings in several: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5"/>
        <w:gridCol w:w="3791"/>
        <w:gridCol w:w="3610"/>
      </w:tblGrid>
      <w:tr>
        <w:trPr>
          <w:tblHeader/>
        </w:trPr>
        <w:tc>
          <w:tcPr>
            <w:tcW w:type="dxa" w:w="1625"/>
            <w:shd w:fill="1F3864" w:color="auto" w:val="clear"/>
            <w:tcMar>
              <w:top w:type="dxa" w:w="60"/>
              <w:left w:type="dxa" w:w="80"/>
              <w:bottom w:type="dxa" w:w="60"/>
              <w:right w:type="dxa" w:w="80"/>
            </w:tcMar>
            <w:vAlign w:val="center"/>
          </w:tcPr>
          <w:p>
            <w:pPr>
              <w:spacing w:after="20" w:line="240"/>
            </w:pPr>
            <w:r>
              <w:rPr>
                <w:b/>
                <w:bCs/>
                <w:color w:val="FFFFFF"/>
                <w:sz w:val="18"/>
                <w:szCs w:val="18"/>
              </w:rPr>
              <w:t xml:space="preserve">Layer</w:t>
            </w:r>
          </w:p>
        </w:tc>
        <w:tc>
          <w:tcPr>
            <w:tcW w:type="dxa" w:w="3791"/>
            <w:shd w:fill="1F3864" w:color="auto" w:val="clear"/>
            <w:tcMar>
              <w:top w:type="dxa" w:w="60"/>
              <w:left w:type="dxa" w:w="80"/>
              <w:bottom w:type="dxa" w:w="60"/>
              <w:right w:type="dxa" w:w="80"/>
            </w:tcMar>
            <w:vAlign w:val="center"/>
          </w:tcPr>
          <w:p>
            <w:pPr>
              <w:spacing w:after="20" w:line="240"/>
            </w:pPr>
            <w:r>
              <w:rPr>
                <w:b/>
                <w:bCs/>
                <w:color w:val="FFFFFF"/>
                <w:sz w:val="18"/>
                <w:szCs w:val="18"/>
              </w:rPr>
              <w:t xml:space="preserve">Questions</w:t>
            </w:r>
          </w:p>
        </w:tc>
        <w:tc>
          <w:tcPr>
            <w:tcW w:type="dxa" w:w="3610"/>
            <w:shd w:fill="1F3864" w:color="auto" w:val="clear"/>
            <w:tcMar>
              <w:top w:type="dxa" w:w="60"/>
              <w:left w:type="dxa" w:w="80"/>
              <w:bottom w:type="dxa" w:w="60"/>
              <w:right w:type="dxa" w:w="80"/>
            </w:tcMar>
            <w:vAlign w:val="center"/>
          </w:tcPr>
          <w:p>
            <w:pPr>
              <w:spacing w:after="20" w:line="240"/>
            </w:pPr>
            <w:r>
              <w:rPr>
                <w:b/>
                <w:bCs/>
                <w:color w:val="FFFFFF"/>
                <w:sz w:val="18"/>
                <w:szCs w:val="18"/>
              </w:rPr>
              <w:t xml:space="preserve">Example findings</w:t>
            </w:r>
          </w:p>
        </w:tc>
      </w:tr>
      <w:tr>
        <w:tc>
          <w:tcPr>
            <w:tcW w:type="dxa" w:w="1625"/>
            <w:tcMar>
              <w:top w:type="dxa" w:w="50"/>
              <w:left w:type="dxa" w:w="80"/>
              <w:bottom w:type="dxa" w:w="50"/>
              <w:right w:type="dxa" w:w="80"/>
            </w:tcMar>
          </w:tcPr>
          <w:p>
            <w:pPr>
              <w:spacing w:after="20" w:line="240"/>
            </w:pPr>
            <w:r>
              <w:rPr>
                <w:sz w:val="18"/>
                <w:szCs w:val="18"/>
              </w:rPr>
              <w:t xml:space="preserve">Data</w:t>
            </w:r>
          </w:p>
        </w:tc>
        <w:tc>
          <w:tcPr>
            <w:tcW w:type="dxa" w:w="3791"/>
            <w:tcMar>
              <w:top w:type="dxa" w:w="50"/>
              <w:left w:type="dxa" w:w="80"/>
              <w:bottom w:type="dxa" w:w="50"/>
              <w:right w:type="dxa" w:w="80"/>
            </w:tcMar>
          </w:tcPr>
          <w:p>
            <w:pPr>
              <w:spacing w:after="20" w:line="240"/>
            </w:pPr>
            <w:r>
              <w:rPr>
                <w:sz w:val="18"/>
                <w:szCs w:val="18"/>
              </w:rPr>
              <w:t xml:space="preserve">Training/fine-tuning data quality? Retrieval corpus poisoned, stale, or misindexed? Input distribution shifted?</w:t>
            </w:r>
          </w:p>
        </w:tc>
        <w:tc>
          <w:tcPr>
            <w:tcW w:type="dxa" w:w="3610"/>
            <w:tcMar>
              <w:top w:type="dxa" w:w="50"/>
              <w:left w:type="dxa" w:w="80"/>
              <w:bottom w:type="dxa" w:w="50"/>
              <w:right w:type="dxa" w:w="80"/>
            </w:tcMar>
          </w:tcPr>
          <w:p>
            <w:pPr>
              <w:spacing w:after="20" w:line="240"/>
            </w:pPr>
            <w:r>
              <w:rPr>
                <w:sz w:val="18"/>
                <w:szCs w:val="18"/>
              </w:rPr>
              <w:t xml:space="preserve">ARIA's RAG index ingested a scam page from a compromised help-center article</w:t>
            </w:r>
          </w:p>
        </w:tc>
      </w:tr>
      <w:tr>
        <w:tc>
          <w:tcPr>
            <w:tcW w:type="dxa" w:w="1625"/>
            <w:shd w:fill="F2F6FB" w:color="auto" w:val="clear"/>
            <w:tcMar>
              <w:top w:type="dxa" w:w="50"/>
              <w:left w:type="dxa" w:w="80"/>
              <w:bottom w:type="dxa" w:w="50"/>
              <w:right w:type="dxa" w:w="80"/>
            </w:tcMar>
          </w:tcPr>
          <w:p>
            <w:pPr>
              <w:spacing w:after="20" w:line="240"/>
            </w:pPr>
            <w:r>
              <w:rPr>
                <w:sz w:val="18"/>
                <w:szCs w:val="18"/>
              </w:rPr>
              <w:t xml:space="preserve">Model</w:t>
            </w:r>
          </w:p>
        </w:tc>
        <w:tc>
          <w:tcPr>
            <w:tcW w:type="dxa" w:w="3791"/>
            <w:shd w:fill="F2F6FB" w:color="auto" w:val="clear"/>
            <w:tcMar>
              <w:top w:type="dxa" w:w="50"/>
              <w:left w:type="dxa" w:w="80"/>
              <w:bottom w:type="dxa" w:w="50"/>
              <w:right w:type="dxa" w:w="80"/>
            </w:tcMar>
          </w:tcPr>
          <w:p>
            <w:pPr>
              <w:spacing w:after="20" w:line="240"/>
            </w:pPr>
            <w:r>
              <w:rPr>
                <w:sz w:val="18"/>
                <w:szCs w:val="18"/>
              </w:rPr>
              <w:t xml:space="preserve">Version change? Known failure mode? Behavior drift? Vendor update?</w:t>
            </w:r>
          </w:p>
        </w:tc>
        <w:tc>
          <w:tcPr>
            <w:tcW w:type="dxa" w:w="3610"/>
            <w:shd w:fill="F2F6FB" w:color="auto" w:val="clear"/>
            <w:tcMar>
              <w:top w:type="dxa" w:w="50"/>
              <w:left w:type="dxa" w:w="80"/>
              <w:bottom w:type="dxa" w:w="50"/>
              <w:right w:type="dxa" w:w="80"/>
            </w:tcMar>
          </w:tcPr>
          <w:p>
            <w:pPr>
              <w:spacing w:after="20" w:line="240"/>
            </w:pPr>
            <w:r>
              <w:rPr>
                <w:sz w:val="18"/>
                <w:szCs w:val="18"/>
              </w:rPr>
              <w:t xml:space="preserve">Vendor foundation-model update changed refusal behavior without notice</w:t>
            </w:r>
          </w:p>
        </w:tc>
      </w:tr>
      <w:tr>
        <w:tc>
          <w:tcPr>
            <w:tcW w:type="dxa" w:w="1625"/>
            <w:tcMar>
              <w:top w:type="dxa" w:w="50"/>
              <w:left w:type="dxa" w:w="80"/>
              <w:bottom w:type="dxa" w:w="50"/>
              <w:right w:type="dxa" w:w="80"/>
            </w:tcMar>
          </w:tcPr>
          <w:p>
            <w:pPr>
              <w:spacing w:after="20" w:line="240"/>
            </w:pPr>
            <w:r>
              <w:rPr>
                <w:sz w:val="18"/>
                <w:szCs w:val="18"/>
              </w:rPr>
              <w:t xml:space="preserve">Prompt &amp; configuration</w:t>
            </w:r>
          </w:p>
        </w:tc>
        <w:tc>
          <w:tcPr>
            <w:tcW w:type="dxa" w:w="3791"/>
            <w:tcMar>
              <w:top w:type="dxa" w:w="50"/>
              <w:left w:type="dxa" w:w="80"/>
              <w:bottom w:type="dxa" w:w="50"/>
              <w:right w:type="dxa" w:w="80"/>
            </w:tcMar>
          </w:tcPr>
          <w:p>
            <w:pPr>
              <w:spacing w:after="20" w:line="240"/>
            </w:pPr>
            <w:r>
              <w:rPr>
                <w:sz w:val="18"/>
                <w:szCs w:val="18"/>
              </w:rPr>
              <w:t xml:space="preserve">System prompt, guardrail thresholds, decoding parameters, feature flags?</w:t>
            </w:r>
          </w:p>
        </w:tc>
        <w:tc>
          <w:tcPr>
            <w:tcW w:type="dxa" w:w="3610"/>
            <w:tcMar>
              <w:top w:type="dxa" w:w="50"/>
              <w:left w:type="dxa" w:w="80"/>
              <w:bottom w:type="dxa" w:w="50"/>
              <w:right w:type="dxa" w:w="80"/>
            </w:tcMar>
          </w:tcPr>
          <w:p>
            <w:pPr>
              <w:spacing w:after="20" w:line="240"/>
            </w:pPr>
            <w:r>
              <w:rPr>
                <w:sz w:val="18"/>
                <w:szCs w:val="18"/>
              </w:rPr>
              <w:t xml:space="preserve">Guardrail threshold loosened in an unrelated A/B test</w:t>
            </w:r>
          </w:p>
        </w:tc>
      </w:tr>
      <w:tr>
        <w:tc>
          <w:tcPr>
            <w:tcW w:type="dxa" w:w="1625"/>
            <w:shd w:fill="F2F6FB" w:color="auto" w:val="clear"/>
            <w:tcMar>
              <w:top w:type="dxa" w:w="50"/>
              <w:left w:type="dxa" w:w="80"/>
              <w:bottom w:type="dxa" w:w="50"/>
              <w:right w:type="dxa" w:w="80"/>
            </w:tcMar>
          </w:tcPr>
          <w:p>
            <w:pPr>
              <w:spacing w:after="20" w:line="240"/>
            </w:pPr>
            <w:r>
              <w:rPr>
                <w:sz w:val="18"/>
                <w:szCs w:val="18"/>
              </w:rPr>
              <w:t xml:space="preserve">Integration</w:t>
            </w:r>
          </w:p>
        </w:tc>
        <w:tc>
          <w:tcPr>
            <w:tcW w:type="dxa" w:w="3791"/>
            <w:shd w:fill="F2F6FB" w:color="auto" w:val="clear"/>
            <w:tcMar>
              <w:top w:type="dxa" w:w="50"/>
              <w:left w:type="dxa" w:w="80"/>
              <w:bottom w:type="dxa" w:w="50"/>
              <w:right w:type="dxa" w:w="80"/>
            </w:tcMar>
          </w:tcPr>
          <w:p>
            <w:pPr>
              <w:spacing w:after="20" w:line="240"/>
            </w:pPr>
            <w:r>
              <w:rPr>
                <w:sz w:val="18"/>
                <w:szCs w:val="18"/>
              </w:rPr>
              <w:t xml:space="preserve">Tool access, orchestration, upstream/downstream services, permissions?</w:t>
            </w:r>
          </w:p>
        </w:tc>
        <w:tc>
          <w:tcPr>
            <w:tcW w:type="dxa" w:w="3610"/>
            <w:shd w:fill="F2F6FB" w:color="auto" w:val="clear"/>
            <w:tcMar>
              <w:top w:type="dxa" w:w="50"/>
              <w:left w:type="dxa" w:w="80"/>
              <w:bottom w:type="dxa" w:w="50"/>
              <w:right w:type="dxa" w:w="80"/>
            </w:tcMar>
          </w:tcPr>
          <w:p>
            <w:pPr>
              <w:spacing w:after="20" w:line="240"/>
            </w:pPr>
            <w:r>
              <w:rPr>
                <w:sz w:val="18"/>
                <w:szCs w:val="18"/>
              </w:rPr>
              <w:t xml:space="preserve">ARIA's account-lookup tool lacked per-session authorization binding</w:t>
            </w:r>
          </w:p>
        </w:tc>
      </w:tr>
      <w:tr>
        <w:tc>
          <w:tcPr>
            <w:tcW w:type="dxa" w:w="1625"/>
            <w:tcMar>
              <w:top w:type="dxa" w:w="50"/>
              <w:left w:type="dxa" w:w="80"/>
              <w:bottom w:type="dxa" w:w="50"/>
              <w:right w:type="dxa" w:w="80"/>
            </w:tcMar>
          </w:tcPr>
          <w:p>
            <w:pPr>
              <w:spacing w:after="20" w:line="240"/>
            </w:pPr>
            <w:r>
              <w:rPr>
                <w:sz w:val="18"/>
                <w:szCs w:val="18"/>
              </w:rPr>
              <w:t xml:space="preserve">Human &amp; process</w:t>
            </w:r>
          </w:p>
        </w:tc>
        <w:tc>
          <w:tcPr>
            <w:tcW w:type="dxa" w:w="3791"/>
            <w:tcMar>
              <w:top w:type="dxa" w:w="50"/>
              <w:left w:type="dxa" w:w="80"/>
              <w:bottom w:type="dxa" w:w="50"/>
              <w:right w:type="dxa" w:w="80"/>
            </w:tcMar>
          </w:tcPr>
          <w:p>
            <w:pPr>
              <w:spacing w:after="20" w:line="240"/>
            </w:pPr>
            <w:r>
              <w:rPr>
                <w:sz w:val="18"/>
                <w:szCs w:val="18"/>
              </w:rPr>
              <w:t xml:space="preserve">Was the risk known? Why did testing/monitoring miss it? Were warnings ignored? SOP gaps?</w:t>
            </w:r>
          </w:p>
        </w:tc>
        <w:tc>
          <w:tcPr>
            <w:tcW w:type="dxa" w:w="3610"/>
            <w:tcMar>
              <w:top w:type="dxa" w:w="50"/>
              <w:left w:type="dxa" w:w="80"/>
              <w:bottom w:type="dxa" w:w="50"/>
              <w:right w:type="dxa" w:w="80"/>
            </w:tcMar>
          </w:tcPr>
          <w:p>
            <w:pPr>
              <w:spacing w:after="20" w:line="240"/>
            </w:pPr>
            <w:r>
              <w:rPr>
                <w:sz w:val="18"/>
                <w:szCs w:val="18"/>
              </w:rPr>
              <w:t xml:space="preserve">Red-team finding from March was ticketed but deprioritized; no eval covered this output class</w:t>
            </w:r>
          </w:p>
        </w:tc>
      </w:tr>
    </w:tbl>
    <w:p>
      <w:pPr>
        <w:spacing w:after="120"/>
      </w:pPr>
    </w:p>
    <w:p>
      <w:pPr>
        <w:spacing w:after="120" w:line="276"/>
      </w:pPr>
      <w:r>
        <w:rPr>
          <w:b/>
          <w:bCs/>
        </w:rPr>
        <w:t xml:space="preserve">Standing RCA questions for every incident:</w:t>
      </w:r>
    </w:p>
    <w:p>
      <w:pPr>
        <w:pStyle w:val="ListParagraph"/>
        <w:numPr>
          <w:ilvl w:val="0"/>
          <w:numId w:val="6"/>
        </w:numPr>
        <w:spacing w:after="80" w:line="276"/>
      </w:pPr>
      <w:r>
        <w:t xml:space="preserve">Why did our evaluations not catch this before deployment?</w:t>
      </w:r>
    </w:p>
    <w:p>
      <w:pPr>
        <w:pStyle w:val="ListParagraph"/>
        <w:numPr>
          <w:ilvl w:val="0"/>
          <w:numId w:val="6"/>
        </w:numPr>
        <w:spacing w:after="80" w:line="276"/>
      </w:pPr>
      <w:r>
        <w:t xml:space="preserve">Why did our monitoring not catch it earlier in production?</w:t>
      </w:r>
    </w:p>
    <w:p>
      <w:pPr>
        <w:pStyle w:val="ListParagraph"/>
        <w:numPr>
          <w:ilvl w:val="0"/>
          <w:numId w:val="6"/>
        </w:numPr>
        <w:spacing w:after="80" w:line="276"/>
      </w:pPr>
      <w:r>
        <w:t xml:space="preserve">Was this failure mode in the risk register? If yes, why was the treatment insufficient; if no, why did mapping miss it?</w:t>
      </w:r>
    </w:p>
    <w:p>
      <w:pPr>
        <w:spacing w:after="120" w:line="276"/>
      </w:pPr>
      <w:r>
        <w:t xml:space="preserve">Question 3 is the direct bridge to NIST MAP/MEASURE and ISO 42001's impact-assessment controls — it converts every incident into a test of the risk-management program itself.</w:t>
      </w:r>
    </w:p>
    <w:p>
      <w:pPr>
        <w:spacing w:after="120" w:line="276"/>
      </w:pPr>
      <w:r>
        <w:rPr>
          <w:b/>
          <w:bCs/>
        </w:rPr>
        <w:t xml:space="preserve">Reproduction discipline:</w:t>
      </w:r>
      <w:r>
        <w:t xml:space="preserve"> attempt reproduction against the behavioral snapshot (pinned versions/config), not current production. Document reproduction </w:t>
      </w:r>
      <w:r>
        <w:rPr>
          <w:i/>
          <w:iCs/>
        </w:rPr>
        <w:t xml:space="preserve">rate</w:t>
      </w:r>
      <w:r>
        <w:t xml:space="preserve">, not just success — “reproduces in 7 of 20 attempts at temperature 0.7” is a finding; treat non-reproducibility as a data point, not case closure.</w:t>
      </w:r>
    </w:p>
    <w:p>
      <w:pPr>
        <w:pBdr>
          <w:left w:val="single" w:color="2E5496" w:sz="12" w:space="8"/>
        </w:pBdr>
        <w:spacing w:after="160"/>
        <w:ind w:left="240"/>
      </w:pPr>
      <w:r>
        <w:rPr>
          <w:i/>
          <w:iCs/>
          <w:color w:val="6B6B6B"/>
          <w:sz w:val="20"/>
          <w:szCs w:val="20"/>
        </w:rPr>
        <w:t xml:space="preserve">Template: Appendix B. SEV-1/2 require full RCA within 10 business days of containment; SEV-3 lightweight RCA within 15.</w:t>
      </w:r>
    </w:p>
    <w:p>
      <w:pPr>
        <w:pStyle w:val="Heading2"/>
        <w:spacing w:after="120" w:before="260"/>
      </w:pPr>
      <w:r>
        <w:t xml:space="preserve">6.6 Remediation &amp; Verification</w:t>
      </w:r>
    </w:p>
    <w:p>
      <w:pPr>
        <w:spacing w:after="120" w:line="276"/>
      </w:pPr>
      <w:r>
        <w:t xml:space="preserve">Remediation addresses three levels, and the RCA must propose actions at each:</w:t>
      </w:r>
    </w:p>
    <w:p>
      <w:pPr>
        <w:pStyle w:val="ListParagraph"/>
        <w:numPr>
          <w:ilvl w:val="0"/>
          <w:numId w:val="7"/>
        </w:numPr>
        <w:spacing w:after="80" w:line="276"/>
      </w:pPr>
      <w:r>
        <w:rPr>
          <w:b/>
          <w:bCs/>
        </w:rPr>
        <w:t xml:space="preserve">Instance</w:t>
      </w:r>
      <w:r>
        <w:t xml:space="preserve"> — the specific harm: affected users compensated/notified, wrongful decisions reversed (accounts unfrozen, wrongly rejected KYC applications re-reviewed), harmful content purged.</w:t>
      </w:r>
    </w:p>
    <w:p>
      <w:pPr>
        <w:pStyle w:val="ListParagraph"/>
        <w:numPr>
          <w:ilvl w:val="0"/>
          <w:numId w:val="7"/>
        </w:numPr>
        <w:spacing w:after="80" w:line="276"/>
      </w:pPr>
      <w:r>
        <w:rPr>
          <w:b/>
          <w:bCs/>
        </w:rPr>
        <w:t xml:space="preserve">Class</w:t>
      </w:r>
      <w:r>
        <w:t xml:space="preserve"> — the failure mode: retrained/rolled-forward model, corrected retrieval pipeline, hardened prompt/config, new guardrail, vendor contract amendment.</w:t>
      </w:r>
    </w:p>
    <w:p>
      <w:pPr>
        <w:pStyle w:val="ListParagraph"/>
        <w:numPr>
          <w:ilvl w:val="0"/>
          <w:numId w:val="7"/>
        </w:numPr>
        <w:spacing w:after="80" w:line="276"/>
      </w:pPr>
      <w:r>
        <w:rPr>
          <w:b/>
          <w:bCs/>
        </w:rPr>
        <w:t xml:space="preserve">Program</w:t>
      </w:r>
      <w:r>
        <w:t xml:space="preserve"> — the detection/prevention gap: new evaluation cases, new monitoring signal, updated SOP, updated risk register entry.</w:t>
      </w:r>
    </w:p>
    <w:p>
      <w:pPr>
        <w:spacing w:after="120" w:line="276"/>
      </w:pPr>
      <w:r>
        <w:rPr>
          <w:b/>
          <w:bCs/>
        </w:rPr>
        <w:t xml:space="preserve">Redeployment gate (mandatory for any model/prompt/config change shipped as remediation):</w:t>
      </w:r>
    </w:p>
    <w:p>
      <w:pPr>
        <w:pStyle w:val="ListParagraph"/>
        <w:numPr>
          <w:ilvl w:val="0"/>
          <w:numId w:val="2"/>
        </w:numPr>
        <w:spacing w:after="80" w:line="276"/>
      </w:pPr>
      <w:r>
        <w:t xml:space="preserve">Regression evaluation suite passes, </w:t>
      </w:r>
      <w:r>
        <w:rPr>
          <w:b/>
          <w:bCs/>
        </w:rPr>
        <w:t xml:space="preserve">including new eval cases derived from this incident</w:t>
      </w:r>
      <w:r>
        <w:t xml:space="preserve"> — the incident's triggering inputs become permanent regression tests;</w:t>
      </w:r>
    </w:p>
    <w:p>
      <w:pPr>
        <w:pStyle w:val="ListParagraph"/>
        <w:numPr>
          <w:ilvl w:val="0"/>
          <w:numId w:val="2"/>
        </w:numPr>
        <w:spacing w:after="80" w:line="276"/>
      </w:pPr>
      <w:r>
        <w:t xml:space="preserve">Targeted testing of the failure class (not just the failure instance);</w:t>
      </w:r>
    </w:p>
    <w:p>
      <w:pPr>
        <w:pStyle w:val="ListParagraph"/>
        <w:numPr>
          <w:ilvl w:val="0"/>
          <w:numId w:val="2"/>
        </w:numPr>
        <w:spacing w:after="80" w:line="276"/>
      </w:pPr>
      <w:r>
        <w:t xml:space="preserve">Staged rollout with monitoring on the specific signals this incident generated;</w:t>
      </w:r>
    </w:p>
    <w:p>
      <w:pPr>
        <w:pStyle w:val="ListParagraph"/>
        <w:numPr>
          <w:ilvl w:val="0"/>
          <w:numId w:val="2"/>
        </w:numPr>
        <w:spacing w:after="80" w:line="276"/>
      </w:pPr>
      <w:r>
        <w:t xml:space="preserve">Model Owner sign-off; for SEV-1/2, AI Governance Lead co-sign.</w:t>
      </w:r>
    </w:p>
    <w:p>
      <w:pPr>
        <w:spacing w:after="120" w:line="276"/>
      </w:pPr>
      <w:r>
        <w:t xml:space="preserve">“Fix shipped” is not “incident resolved.” The incident closes only when post-remediation monitoring confirms the failure class is absent over an agreed observation window (default: 14 days for SEV-1/2).</w:t>
      </w:r>
    </w:p>
    <w:p>
      <w:pPr>
        <w:spacing w:after="120" w:line="276"/>
      </w:pPr>
      <w:r>
        <w:rPr>
          <w:b/>
          <w:bCs/>
        </w:rPr>
        <w:t xml:space="preserve">Closure and reopening.</w:t>
      </w:r>
      <w:r>
        <w:t xml:space="preserve"> The IC closes the incident with the Model Owner's confirmation that remediation held through the observation window; SEV-1/2 closures additionally require AI Governance Lead co-sign (authority table, §3.4). If the failure class recurs </w:t>
      </w:r>
      <w:r>
        <w:rPr>
          <w:b/>
          <w:bCs/>
        </w:rPr>
        <w:t xml:space="preserve">within</w:t>
      </w:r>
      <w:r>
        <w:t xml:space="preserve"> the observation window, the incident </w:t>
      </w:r>
      <w:r>
        <w:rPr>
          <w:b/>
          <w:bCs/>
        </w:rPr>
        <w:t xml:space="preserve">reopens</w:t>
      </w:r>
      <w:r>
        <w:t xml:space="preserve"> — same ID, timeline continues. Recurrence </w:t>
      </w:r>
      <w:r>
        <w:rPr>
          <w:b/>
          <w:bCs/>
        </w:rPr>
        <w:t xml:space="preserve">after</w:t>
      </w:r>
      <w:r>
        <w:t xml:space="preserve"> closure is a </w:t>
      </w:r>
      <w:r>
        <w:rPr>
          <w:b/>
          <w:bCs/>
        </w:rPr>
        <w:t xml:space="preserve">new incident linked to the original</w:t>
      </w:r>
      <w:r>
        <w:t xml:space="preserve">: the link feeds the recurrence metric (§7), and the new incident's severity floor is one level above its nominal score — a failure class that survived remediation is, by definition, worse than first believed.</w:t>
      </w:r>
    </w:p>
    <w:p>
      <w:pPr>
        <w:pStyle w:val="Heading2"/>
        <w:spacing w:after="120" w:before="260"/>
      </w:pPr>
      <w:r>
        <w:t xml:space="preserve">6.7 Post-Incident Review &amp; Lessons Learned</w:t>
      </w:r>
    </w:p>
    <w:p>
      <w:pPr>
        <w:spacing w:after="120" w:line="276"/>
      </w:pPr>
      <w:r>
        <w:rPr>
          <w:b/>
          <w:bCs/>
        </w:rPr>
        <w:t xml:space="preserve">Blameless, mandatory, time-boxed:</w:t>
      </w:r>
      <w:r>
        <w:t xml:space="preserve"> SEV-1/2 within 10 business days of resolution (60–90 min, cross-functional, IC facilitates, AI Governance Lead accountable for output); SEV-3 and near-misses get a lightweight async review (30 min or written).</w:t>
      </w:r>
    </w:p>
    <w:p>
      <w:pPr>
        <w:spacing w:after="120" w:line="276"/>
      </w:pPr>
      <w:r>
        <w:t xml:space="preserve">The PIR answers (template: Appendix C):</w:t>
      </w:r>
    </w:p>
    <w:p>
      <w:pPr>
        <w:pStyle w:val="ListParagraph"/>
        <w:numPr>
          <w:ilvl w:val="0"/>
          <w:numId w:val="2"/>
        </w:numPr>
        <w:spacing w:after="80" w:line="276"/>
      </w:pPr>
      <w:r>
        <w:t xml:space="preserve">What happened, and what was the </w:t>
      </w:r>
      <w:r>
        <w:rPr>
          <w:i/>
          <w:iCs/>
        </w:rPr>
        <w:t xml:space="preserve">actual</w:t>
      </w:r>
      <w:r>
        <w:t xml:space="preserve"> timeline (detection → triage → containment → resolution vs. SLA)?</w:t>
      </w:r>
    </w:p>
    <w:p>
      <w:pPr>
        <w:pStyle w:val="ListParagraph"/>
        <w:numPr>
          <w:ilvl w:val="0"/>
          <w:numId w:val="2"/>
        </w:numPr>
        <w:spacing w:after="80" w:line="276"/>
      </w:pPr>
      <w:r>
        <w:t xml:space="preserve">What went well? What was luck rather than design?</w:t>
      </w:r>
    </w:p>
    <w:p>
      <w:pPr>
        <w:pStyle w:val="ListParagraph"/>
        <w:numPr>
          <w:ilvl w:val="0"/>
          <w:numId w:val="2"/>
        </w:numPr>
        <w:spacing w:after="80" w:line="276"/>
      </w:pPr>
      <w:r>
        <w:t xml:space="preserve">Where did process, tooling, or judgment fall short — without naming culprits?</w:t>
      </w:r>
    </w:p>
    <w:p>
      <w:pPr>
        <w:pStyle w:val="ListParagraph"/>
        <w:numPr>
          <w:ilvl w:val="0"/>
          <w:numId w:val="2"/>
        </w:numPr>
        <w:spacing w:after="80" w:line="276"/>
      </w:pPr>
      <w:r>
        <w:t xml:space="preserve">Are classification, escalation, and this playbook's guidance still right, given what we saw?</w:t>
      </w:r>
    </w:p>
    <w:p>
      <w:pPr>
        <w:spacing w:after="120" w:line="276"/>
      </w:pPr>
      <w:r>
        <w:rPr>
          <w:b/>
          <w:bCs/>
        </w:rPr>
        <w:t xml:space="preserve">Feedback loops (the part most programs skip — every PIR must explicitly disposition each):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4513"/>
        <w:gridCol w:w="2347"/>
      </w:tblGrid>
      <w:tr>
        <w:trPr>
          <w:tblHeader/>
        </w:trPr>
        <w:tc>
          <w:tcPr>
            <w:tcW w:type="dxa" w:w="2166"/>
            <w:shd w:fill="1F3864" w:color="auto" w:val="clear"/>
            <w:tcMar>
              <w:top w:type="dxa" w:w="60"/>
              <w:left w:type="dxa" w:w="80"/>
              <w:bottom w:type="dxa" w:w="60"/>
              <w:right w:type="dxa" w:w="80"/>
            </w:tcMar>
            <w:vAlign w:val="center"/>
          </w:tcPr>
          <w:p>
            <w:pPr>
              <w:spacing w:after="20" w:line="240"/>
            </w:pPr>
            <w:r>
              <w:rPr>
                <w:b/>
                <w:bCs/>
                <w:color w:val="FFFFFF"/>
                <w:sz w:val="18"/>
                <w:szCs w:val="18"/>
              </w:rPr>
              <w:t xml:space="preserve">Loop</w:t>
            </w:r>
          </w:p>
        </w:tc>
        <w:tc>
          <w:tcPr>
            <w:tcW w:type="dxa" w:w="4513"/>
            <w:shd w:fill="1F3864" w:color="auto" w:val="clear"/>
            <w:tcMar>
              <w:top w:type="dxa" w:w="60"/>
              <w:left w:type="dxa" w:w="80"/>
              <w:bottom w:type="dxa" w:w="60"/>
              <w:right w:type="dxa" w:w="80"/>
            </w:tcMar>
            <w:vAlign w:val="center"/>
          </w:tcPr>
          <w:p>
            <w:pPr>
              <w:spacing w:after="20" w:line="240"/>
            </w:pPr>
            <w:r>
              <w:rPr>
                <w:b/>
                <w:bCs/>
                <w:color w:val="FFFFFF"/>
                <w:sz w:val="18"/>
                <w:szCs w:val="18"/>
              </w:rPr>
              <w:t xml:space="preserve">Action</w:t>
            </w:r>
          </w:p>
        </w:tc>
        <w:tc>
          <w:tcPr>
            <w:tcW w:type="dxa" w:w="2347"/>
            <w:shd w:fill="1F3864" w:color="auto" w:val="clear"/>
            <w:tcMar>
              <w:top w:type="dxa" w:w="60"/>
              <w:left w:type="dxa" w:w="80"/>
              <w:bottom w:type="dxa" w:w="60"/>
              <w:right w:type="dxa" w:w="80"/>
            </w:tcMar>
            <w:vAlign w:val="center"/>
          </w:tcPr>
          <w:p>
            <w:pPr>
              <w:spacing w:after="20" w:line="240"/>
            </w:pPr>
            <w:r>
              <w:rPr>
                <w:b/>
                <w:bCs/>
                <w:color w:val="FFFFFF"/>
                <w:sz w:val="18"/>
                <w:szCs w:val="18"/>
              </w:rPr>
              <w:t xml:space="preserve">Owner</w:t>
            </w:r>
          </w:p>
        </w:tc>
      </w:tr>
      <w:tr>
        <w:tc>
          <w:tcPr>
            <w:tcW w:type="dxa" w:w="2166"/>
            <w:tcMar>
              <w:top w:type="dxa" w:w="50"/>
              <w:left w:type="dxa" w:w="80"/>
              <w:bottom w:type="dxa" w:w="50"/>
              <w:right w:type="dxa" w:w="80"/>
            </w:tcMar>
          </w:tcPr>
          <w:p>
            <w:pPr>
              <w:spacing w:after="20" w:line="240"/>
            </w:pPr>
            <w:r>
              <w:rPr>
                <w:sz w:val="18"/>
                <w:szCs w:val="18"/>
              </w:rPr>
              <w:t xml:space="preserve">Risk register</w:t>
            </w:r>
          </w:p>
        </w:tc>
        <w:tc>
          <w:tcPr>
            <w:tcW w:type="dxa" w:w="4513"/>
            <w:tcMar>
              <w:top w:type="dxa" w:w="50"/>
              <w:left w:type="dxa" w:w="80"/>
              <w:bottom w:type="dxa" w:w="50"/>
              <w:right w:type="dxa" w:w="80"/>
            </w:tcMar>
          </w:tcPr>
          <w:p>
            <w:pPr>
              <w:spacing w:after="20" w:line="240"/>
            </w:pPr>
            <w:r>
              <w:rPr>
                <w:sz w:val="18"/>
                <w:szCs w:val="18"/>
              </w:rPr>
              <w:t xml:space="preserve">New/updated risk entries with revised likelihood/impact</w:t>
            </w:r>
          </w:p>
        </w:tc>
        <w:tc>
          <w:tcPr>
            <w:tcW w:type="dxa" w:w="2347"/>
            <w:tcMar>
              <w:top w:type="dxa" w:w="50"/>
              <w:left w:type="dxa" w:w="80"/>
              <w:bottom w:type="dxa" w:w="50"/>
              <w:right w:type="dxa" w:w="80"/>
            </w:tcMar>
          </w:tcPr>
          <w:p>
            <w:pPr>
              <w:spacing w:after="20" w:line="240"/>
            </w:pPr>
            <w:r>
              <w:rPr>
                <w:sz w:val="18"/>
                <w:szCs w:val="18"/>
              </w:rPr>
              <w:t xml:space="preserve">AI Governance Lead</w:t>
            </w:r>
          </w:p>
        </w:tc>
      </w:tr>
      <w:tr>
        <w:tc>
          <w:tcPr>
            <w:tcW w:type="dxa" w:w="2166"/>
            <w:shd w:fill="F2F6FB" w:color="auto" w:val="clear"/>
            <w:tcMar>
              <w:top w:type="dxa" w:w="50"/>
              <w:left w:type="dxa" w:w="80"/>
              <w:bottom w:type="dxa" w:w="50"/>
              <w:right w:type="dxa" w:w="80"/>
            </w:tcMar>
          </w:tcPr>
          <w:p>
            <w:pPr>
              <w:spacing w:after="20" w:line="240"/>
            </w:pPr>
            <w:r>
              <w:rPr>
                <w:sz w:val="18"/>
                <w:szCs w:val="18"/>
              </w:rPr>
              <w:t xml:space="preserve">Evaluation suites</w:t>
            </w:r>
          </w:p>
        </w:tc>
        <w:tc>
          <w:tcPr>
            <w:tcW w:type="dxa" w:w="4513"/>
            <w:shd w:fill="F2F6FB" w:color="auto" w:val="clear"/>
            <w:tcMar>
              <w:top w:type="dxa" w:w="50"/>
              <w:left w:type="dxa" w:w="80"/>
              <w:bottom w:type="dxa" w:w="50"/>
              <w:right w:type="dxa" w:w="80"/>
            </w:tcMar>
          </w:tcPr>
          <w:p>
            <w:pPr>
              <w:spacing w:after="20" w:line="240"/>
            </w:pPr>
            <w:r>
              <w:rPr>
                <w:sz w:val="18"/>
                <w:szCs w:val="18"/>
              </w:rPr>
              <w:t xml:space="preserve">Incident-derived eval cases added permanently</w:t>
            </w:r>
          </w:p>
        </w:tc>
        <w:tc>
          <w:tcPr>
            <w:tcW w:type="dxa" w:w="2347"/>
            <w:shd w:fill="F2F6FB" w:color="auto" w:val="clear"/>
            <w:tcMar>
              <w:top w:type="dxa" w:w="50"/>
              <w:left w:type="dxa" w:w="80"/>
              <w:bottom w:type="dxa" w:w="50"/>
              <w:right w:type="dxa" w:w="80"/>
            </w:tcMar>
          </w:tcPr>
          <w:p>
            <w:pPr>
              <w:spacing w:after="20" w:line="240"/>
            </w:pPr>
            <w:r>
              <w:rPr>
                <w:sz w:val="18"/>
                <w:szCs w:val="18"/>
              </w:rPr>
              <w:t xml:space="preserve">Model Owner</w:t>
            </w:r>
          </w:p>
        </w:tc>
      </w:tr>
      <w:tr>
        <w:tc>
          <w:tcPr>
            <w:tcW w:type="dxa" w:w="2166"/>
            <w:tcMar>
              <w:top w:type="dxa" w:w="50"/>
              <w:left w:type="dxa" w:w="80"/>
              <w:bottom w:type="dxa" w:w="50"/>
              <w:right w:type="dxa" w:w="80"/>
            </w:tcMar>
          </w:tcPr>
          <w:p>
            <w:pPr>
              <w:spacing w:after="20" w:line="240"/>
            </w:pPr>
            <w:r>
              <w:rPr>
                <w:sz w:val="18"/>
                <w:szCs w:val="18"/>
              </w:rPr>
              <w:t xml:space="preserve">Monitoring</w:t>
            </w:r>
          </w:p>
        </w:tc>
        <w:tc>
          <w:tcPr>
            <w:tcW w:type="dxa" w:w="4513"/>
            <w:tcMar>
              <w:top w:type="dxa" w:w="50"/>
              <w:left w:type="dxa" w:w="80"/>
              <w:bottom w:type="dxa" w:w="50"/>
              <w:right w:type="dxa" w:w="80"/>
            </w:tcMar>
          </w:tcPr>
          <w:p>
            <w:pPr>
              <w:spacing w:after="20" w:line="240"/>
            </w:pPr>
            <w:r>
              <w:rPr>
                <w:sz w:val="18"/>
                <w:szCs w:val="18"/>
              </w:rPr>
              <w:t xml:space="preserve">New/tuned detection signals and thresholds</w:t>
            </w:r>
          </w:p>
        </w:tc>
        <w:tc>
          <w:tcPr>
            <w:tcW w:type="dxa" w:w="2347"/>
            <w:tcMar>
              <w:top w:type="dxa" w:w="50"/>
              <w:left w:type="dxa" w:w="80"/>
              <w:bottom w:type="dxa" w:w="50"/>
              <w:right w:type="dxa" w:w="80"/>
            </w:tcMar>
          </w:tcPr>
          <w:p>
            <w:pPr>
              <w:spacing w:after="20" w:line="240"/>
            </w:pPr>
            <w:r>
              <w:rPr>
                <w:sz w:val="18"/>
                <w:szCs w:val="18"/>
              </w:rPr>
              <w:t xml:space="preserve">ML Eng</w:t>
            </w:r>
          </w:p>
        </w:tc>
      </w:tr>
      <w:tr>
        <w:tc>
          <w:tcPr>
            <w:tcW w:type="dxa" w:w="2166"/>
            <w:shd w:fill="F2F6FB" w:color="auto" w:val="clear"/>
            <w:tcMar>
              <w:top w:type="dxa" w:w="50"/>
              <w:left w:type="dxa" w:w="80"/>
              <w:bottom w:type="dxa" w:w="50"/>
              <w:right w:type="dxa" w:w="80"/>
            </w:tcMar>
          </w:tcPr>
          <w:p>
            <w:pPr>
              <w:spacing w:after="20" w:line="240"/>
            </w:pPr>
            <w:r>
              <w:rPr>
                <w:sz w:val="18"/>
                <w:szCs w:val="18"/>
              </w:rPr>
              <w:t xml:space="preserve">Model documentation</w:t>
            </w:r>
          </w:p>
        </w:tc>
        <w:tc>
          <w:tcPr>
            <w:tcW w:type="dxa" w:w="4513"/>
            <w:shd w:fill="F2F6FB" w:color="auto" w:val="clear"/>
            <w:tcMar>
              <w:top w:type="dxa" w:w="50"/>
              <w:left w:type="dxa" w:w="80"/>
              <w:bottom w:type="dxa" w:w="50"/>
              <w:right w:type="dxa" w:w="80"/>
            </w:tcMar>
          </w:tcPr>
          <w:p>
            <w:pPr>
              <w:spacing w:after="20" w:line="240"/>
            </w:pPr>
            <w:r>
              <w:rPr>
                <w:sz w:val="18"/>
                <w:szCs w:val="18"/>
              </w:rPr>
              <w:t xml:space="preserve">Model cards / system documentation updated with known failure modes</w:t>
            </w:r>
          </w:p>
        </w:tc>
        <w:tc>
          <w:tcPr>
            <w:tcW w:type="dxa" w:w="2347"/>
            <w:shd w:fill="F2F6FB" w:color="auto" w:val="clear"/>
            <w:tcMar>
              <w:top w:type="dxa" w:w="50"/>
              <w:left w:type="dxa" w:w="80"/>
              <w:bottom w:type="dxa" w:w="50"/>
              <w:right w:type="dxa" w:w="80"/>
            </w:tcMar>
          </w:tcPr>
          <w:p>
            <w:pPr>
              <w:spacing w:after="20" w:line="240"/>
            </w:pPr>
            <w:r>
              <w:rPr>
                <w:sz w:val="18"/>
                <w:szCs w:val="18"/>
              </w:rPr>
              <w:t xml:space="preserve">Model Owner</w:t>
            </w:r>
          </w:p>
        </w:tc>
      </w:tr>
      <w:tr>
        <w:tc>
          <w:tcPr>
            <w:tcW w:type="dxa" w:w="2166"/>
            <w:tcMar>
              <w:top w:type="dxa" w:w="50"/>
              <w:left w:type="dxa" w:w="80"/>
              <w:bottom w:type="dxa" w:w="50"/>
              <w:right w:type="dxa" w:w="80"/>
            </w:tcMar>
          </w:tcPr>
          <w:p>
            <w:pPr>
              <w:spacing w:after="20" w:line="240"/>
            </w:pPr>
            <w:r>
              <w:rPr>
                <w:sz w:val="18"/>
                <w:szCs w:val="18"/>
              </w:rPr>
              <w:t xml:space="preserve">Policy &amp; SOP</w:t>
            </w:r>
          </w:p>
        </w:tc>
        <w:tc>
          <w:tcPr>
            <w:tcW w:type="dxa" w:w="4513"/>
            <w:tcMar>
              <w:top w:type="dxa" w:w="50"/>
              <w:left w:type="dxa" w:w="80"/>
              <w:bottom w:type="dxa" w:w="50"/>
              <w:right w:type="dxa" w:w="80"/>
            </w:tcMar>
          </w:tcPr>
          <w:p>
            <w:pPr>
              <w:spacing w:after="20" w:line="240"/>
            </w:pPr>
            <w:r>
              <w:rPr>
                <w:sz w:val="18"/>
                <w:szCs w:val="18"/>
              </w:rPr>
              <w:t xml:space="preserve">Playbook, content policy, support macro updates</w:t>
            </w:r>
          </w:p>
        </w:tc>
        <w:tc>
          <w:tcPr>
            <w:tcW w:type="dxa" w:w="2347"/>
            <w:tcMar>
              <w:top w:type="dxa" w:w="50"/>
              <w:left w:type="dxa" w:w="80"/>
              <w:bottom w:type="dxa" w:w="50"/>
              <w:right w:type="dxa" w:w="80"/>
            </w:tcMar>
          </w:tcPr>
          <w:p>
            <w:pPr>
              <w:spacing w:after="20" w:line="240"/>
            </w:pPr>
            <w:r>
              <w:rPr>
                <w:sz w:val="18"/>
                <w:szCs w:val="18"/>
              </w:rPr>
              <w:t xml:space="preserve">Head of T&amp;S</w:t>
            </w:r>
          </w:p>
        </w:tc>
      </w:tr>
      <w:tr>
        <w:tc>
          <w:tcPr>
            <w:tcW w:type="dxa" w:w="2166"/>
            <w:shd w:fill="F2F6FB" w:color="auto" w:val="clear"/>
            <w:tcMar>
              <w:top w:type="dxa" w:w="50"/>
              <w:left w:type="dxa" w:w="80"/>
              <w:bottom w:type="dxa" w:w="50"/>
              <w:right w:type="dxa" w:w="80"/>
            </w:tcMar>
          </w:tcPr>
          <w:p>
            <w:pPr>
              <w:spacing w:after="20" w:line="240"/>
            </w:pPr>
            <w:r>
              <w:rPr>
                <w:sz w:val="18"/>
                <w:szCs w:val="18"/>
              </w:rPr>
              <w:t xml:space="preserve">Training &amp; exercises</w:t>
            </w:r>
          </w:p>
        </w:tc>
        <w:tc>
          <w:tcPr>
            <w:tcW w:type="dxa" w:w="4513"/>
            <w:shd w:fill="F2F6FB" w:color="auto" w:val="clear"/>
            <w:tcMar>
              <w:top w:type="dxa" w:w="50"/>
              <w:left w:type="dxa" w:w="80"/>
              <w:bottom w:type="dxa" w:w="50"/>
              <w:right w:type="dxa" w:w="80"/>
            </w:tcMar>
          </w:tcPr>
          <w:p>
            <w:pPr>
              <w:spacing w:after="20" w:line="240"/>
            </w:pPr>
            <w:r>
              <w:rPr>
                <w:sz w:val="18"/>
                <w:szCs w:val="18"/>
              </w:rPr>
              <w:t xml:space="preserve">Scenario added to tabletop rotation if novel</w:t>
            </w:r>
          </w:p>
        </w:tc>
        <w:tc>
          <w:tcPr>
            <w:tcW w:type="dxa" w:w="2347"/>
            <w:shd w:fill="F2F6FB" w:color="auto" w:val="clear"/>
            <w:tcMar>
              <w:top w:type="dxa" w:w="50"/>
              <w:left w:type="dxa" w:w="80"/>
              <w:bottom w:type="dxa" w:w="50"/>
              <w:right w:type="dxa" w:w="80"/>
            </w:tcMar>
          </w:tcPr>
          <w:p>
            <w:pPr>
              <w:spacing w:after="20" w:line="240"/>
            </w:pPr>
            <w:r>
              <w:rPr>
                <w:sz w:val="18"/>
                <w:szCs w:val="18"/>
              </w:rPr>
              <w:t xml:space="preserve">AI Governance Lead</w:t>
            </w:r>
          </w:p>
        </w:tc>
      </w:tr>
    </w:tbl>
    <w:p>
      <w:pPr>
        <w:spacing w:after="120"/>
      </w:pPr>
    </w:p>
    <w:p>
      <w:pPr>
        <w:spacing w:after="120" w:line="276"/>
      </w:pPr>
      <w:r>
        <w:rPr>
          <w:b/>
          <w:bCs/>
        </w:rPr>
        <w:t xml:space="preserve">Risk-register linkage is severity-driven, not discretionary:</w:t>
      </w:r>
      <w:r>
        <w:t xml:space="preserve"> SEV-1 → mandatory new or materially revised risk entry; SEV-2 → mandatory review of the relevant existing entry (creation if absent); SEV-3 and near-misses → discretionary, but the decision is logged either way. “The register already covers this” is a claim the PIR must test, not assume (§6.5, standing question 3).</w:t>
      </w:r>
    </w:p>
    <w:p>
      <w:pPr>
        <w:spacing w:after="120" w:line="276"/>
      </w:pPr>
      <w:r>
        <w:t xml:space="preserve">Action items get named owners and due dates, tracked by the AI Incident Review Board (§3.3) to closure — a PIR whose actions silently expire is theater, and the Board's monthly review exists to prevent exactly that.</w:t>
      </w:r>
    </w:p>
    <w:p>
      <w:pPr>
        <w:pStyle w:val="Heading1"/>
        <w:spacing w:after="160" w:before="340"/>
      </w:pPr>
      <w:r>
        <w:t xml:space="preserve">7. Metrics &amp; Continuous Improvement</w:t>
      </w:r>
    </w:p>
    <w:p>
      <w:pPr>
        <w:spacing w:after="120" w:line="276"/>
      </w:pPr>
      <w:r>
        <w:t xml:space="preserve">Reported monthly to the AI Incident Review Board; reviewed quarterly for trend: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3249"/>
        <w:gridCol w:w="3971"/>
      </w:tblGrid>
      <w:tr>
        <w:trPr>
          <w:tblHeader/>
        </w:trPr>
        <w:tc>
          <w:tcPr>
            <w:tcW w:type="dxa" w:w="1805"/>
            <w:shd w:fill="1F3864" w:color="auto" w:val="clear"/>
            <w:tcMar>
              <w:top w:type="dxa" w:w="60"/>
              <w:left w:type="dxa" w:w="80"/>
              <w:bottom w:type="dxa" w:w="60"/>
              <w:right w:type="dxa" w:w="80"/>
            </w:tcMar>
            <w:vAlign w:val="center"/>
          </w:tcPr>
          <w:p>
            <w:pPr>
              <w:spacing w:after="20" w:line="240"/>
            </w:pPr>
            <w:r>
              <w:rPr>
                <w:b/>
                <w:bCs/>
                <w:color w:val="FFFFFF"/>
                <w:sz w:val="18"/>
                <w:szCs w:val="18"/>
              </w:rPr>
              <w:t xml:space="preserve">Metric</w:t>
            </w:r>
          </w:p>
        </w:tc>
        <w:tc>
          <w:tcPr>
            <w:tcW w:type="dxa" w:w="3249"/>
            <w:shd w:fill="1F3864" w:color="auto" w:val="clear"/>
            <w:tcMar>
              <w:top w:type="dxa" w:w="60"/>
              <w:left w:type="dxa" w:w="80"/>
              <w:bottom w:type="dxa" w:w="60"/>
              <w:right w:type="dxa" w:w="80"/>
            </w:tcMar>
            <w:vAlign w:val="center"/>
          </w:tcPr>
          <w:p>
            <w:pPr>
              <w:spacing w:after="20" w:line="240"/>
            </w:pPr>
            <w:r>
              <w:rPr>
                <w:b/>
                <w:bCs/>
                <w:color w:val="FFFFFF"/>
                <w:sz w:val="18"/>
                <w:szCs w:val="18"/>
              </w:rPr>
              <w:t xml:space="preserve">Definition</w:t>
            </w:r>
          </w:p>
        </w:tc>
        <w:tc>
          <w:tcPr>
            <w:tcW w:type="dxa" w:w="3971"/>
            <w:shd w:fill="1F3864" w:color="auto" w:val="clear"/>
            <w:tcMar>
              <w:top w:type="dxa" w:w="60"/>
              <w:left w:type="dxa" w:w="80"/>
              <w:bottom w:type="dxa" w:w="60"/>
              <w:right w:type="dxa" w:w="80"/>
            </w:tcMar>
            <w:vAlign w:val="center"/>
          </w:tcPr>
          <w:p>
            <w:pPr>
              <w:spacing w:after="20" w:line="240"/>
            </w:pPr>
            <w:r>
              <w:rPr>
                <w:b/>
                <w:bCs/>
                <w:color w:val="FFFFFF"/>
                <w:sz w:val="18"/>
                <w:szCs w:val="18"/>
              </w:rPr>
              <w:t xml:space="preserve">Why it matters</w:t>
            </w:r>
          </w:p>
        </w:tc>
      </w:tr>
      <w:tr>
        <w:tc>
          <w:tcPr>
            <w:tcW w:type="dxa" w:w="1805"/>
            <w:tcMar>
              <w:top w:type="dxa" w:w="50"/>
              <w:left w:type="dxa" w:w="80"/>
              <w:bottom w:type="dxa" w:w="50"/>
              <w:right w:type="dxa" w:w="80"/>
            </w:tcMar>
          </w:tcPr>
          <w:p>
            <w:pPr>
              <w:spacing w:after="20" w:line="240"/>
            </w:pPr>
            <w:r>
              <w:rPr>
                <w:sz w:val="18"/>
                <w:szCs w:val="18"/>
              </w:rPr>
              <w:t xml:space="preserve">MTTD</w:t>
            </w:r>
          </w:p>
        </w:tc>
        <w:tc>
          <w:tcPr>
            <w:tcW w:type="dxa" w:w="3249"/>
            <w:tcMar>
              <w:top w:type="dxa" w:w="50"/>
              <w:left w:type="dxa" w:w="80"/>
              <w:bottom w:type="dxa" w:w="50"/>
              <w:right w:type="dxa" w:w="80"/>
            </w:tcMar>
          </w:tcPr>
          <w:p>
            <w:pPr>
              <w:spacing w:after="20" w:line="240"/>
            </w:pPr>
            <w:r>
              <w:rPr>
                <w:sz w:val="18"/>
                <w:szCs w:val="18"/>
              </w:rPr>
              <w:t xml:space="preserve">Detection lag: incident start → intake record</w:t>
            </w:r>
          </w:p>
        </w:tc>
        <w:tc>
          <w:tcPr>
            <w:tcW w:type="dxa" w:w="3971"/>
            <w:tcMar>
              <w:top w:type="dxa" w:w="50"/>
              <w:left w:type="dxa" w:w="80"/>
              <w:bottom w:type="dxa" w:w="50"/>
              <w:right w:type="dxa" w:w="80"/>
            </w:tcMar>
          </w:tcPr>
          <w:p>
            <w:pPr>
              <w:spacing w:after="20" w:line="240"/>
            </w:pPr>
            <w:r>
              <w:rPr>
                <w:sz w:val="18"/>
                <w:szCs w:val="18"/>
              </w:rPr>
              <w:t xml:space="preserve">Measures monitoring quality; rising MTTD on silent-failure categories (C2, C5) is a leading indicator of program decay</w:t>
            </w:r>
          </w:p>
        </w:tc>
      </w:tr>
      <w:tr>
        <w:tc>
          <w:tcPr>
            <w:tcW w:type="dxa" w:w="1805"/>
            <w:shd w:fill="F2F6FB" w:color="auto" w:val="clear"/>
            <w:tcMar>
              <w:top w:type="dxa" w:w="50"/>
              <w:left w:type="dxa" w:w="80"/>
              <w:bottom w:type="dxa" w:w="50"/>
              <w:right w:type="dxa" w:w="80"/>
            </w:tcMar>
          </w:tcPr>
          <w:p>
            <w:pPr>
              <w:spacing w:after="20" w:line="240"/>
            </w:pPr>
            <w:r>
              <w:rPr>
                <w:sz w:val="18"/>
                <w:szCs w:val="18"/>
              </w:rPr>
              <w:t xml:space="preserve">MTTC / MTTR</w:t>
            </w:r>
          </w:p>
        </w:tc>
        <w:tc>
          <w:tcPr>
            <w:tcW w:type="dxa" w:w="3249"/>
            <w:shd w:fill="F2F6FB" w:color="auto" w:val="clear"/>
            <w:tcMar>
              <w:top w:type="dxa" w:w="50"/>
              <w:left w:type="dxa" w:w="80"/>
              <w:bottom w:type="dxa" w:w="50"/>
              <w:right w:type="dxa" w:w="80"/>
            </w:tcMar>
          </w:tcPr>
          <w:p>
            <w:pPr>
              <w:spacing w:after="20" w:line="240"/>
            </w:pPr>
            <w:r>
              <w:rPr>
                <w:sz w:val="18"/>
                <w:szCs w:val="18"/>
              </w:rPr>
              <w:t xml:space="preserve">Time to containment / full resolution, by severity</w:t>
            </w:r>
          </w:p>
        </w:tc>
        <w:tc>
          <w:tcPr>
            <w:tcW w:type="dxa" w:w="3971"/>
            <w:shd w:fill="F2F6FB" w:color="auto" w:val="clear"/>
            <w:tcMar>
              <w:top w:type="dxa" w:w="50"/>
              <w:left w:type="dxa" w:w="80"/>
              <w:bottom w:type="dxa" w:w="50"/>
              <w:right w:type="dxa" w:w="80"/>
            </w:tcMar>
          </w:tcPr>
          <w:p>
            <w:pPr>
              <w:spacing w:after="20" w:line="240"/>
            </w:pPr>
            <w:r>
              <w:rPr>
                <w:sz w:val="18"/>
                <w:szCs w:val="18"/>
              </w:rPr>
              <w:t xml:space="preserve">Response muscle; SLA adherence</w:t>
            </w:r>
          </w:p>
        </w:tc>
      </w:tr>
      <w:tr>
        <w:tc>
          <w:tcPr>
            <w:tcW w:type="dxa" w:w="1805"/>
            <w:tcMar>
              <w:top w:type="dxa" w:w="50"/>
              <w:left w:type="dxa" w:w="80"/>
              <w:bottom w:type="dxa" w:w="50"/>
              <w:right w:type="dxa" w:w="80"/>
            </w:tcMar>
          </w:tcPr>
          <w:p>
            <w:pPr>
              <w:spacing w:after="20" w:line="240"/>
            </w:pPr>
            <w:r>
              <w:rPr>
                <w:sz w:val="18"/>
                <w:szCs w:val="18"/>
              </w:rPr>
              <w:t xml:space="preserve">Detection source mix</w:t>
            </w:r>
          </w:p>
        </w:tc>
        <w:tc>
          <w:tcPr>
            <w:tcW w:type="dxa" w:w="3249"/>
            <w:tcMar>
              <w:top w:type="dxa" w:w="50"/>
              <w:left w:type="dxa" w:w="80"/>
              <w:bottom w:type="dxa" w:w="50"/>
              <w:right w:type="dxa" w:w="80"/>
            </w:tcMar>
          </w:tcPr>
          <w:p>
            <w:pPr>
              <w:spacing w:after="20" w:line="240"/>
            </w:pPr>
            <w:r>
              <w:rPr>
                <w:sz w:val="18"/>
                <w:szCs w:val="18"/>
              </w:rPr>
              <w:t xml:space="preserve">% detected by automated monitoring vs. users vs. external</w:t>
            </w:r>
          </w:p>
        </w:tc>
        <w:tc>
          <w:tcPr>
            <w:tcW w:type="dxa" w:w="3971"/>
            <w:tcMar>
              <w:top w:type="dxa" w:w="50"/>
              <w:left w:type="dxa" w:w="80"/>
              <w:bottom w:type="dxa" w:w="50"/>
              <w:right w:type="dxa" w:w="80"/>
            </w:tcMar>
          </w:tcPr>
          <w:p>
            <w:pPr>
              <w:spacing w:after="20" w:line="240"/>
            </w:pPr>
            <w:r>
              <w:rPr>
                <w:sz w:val="18"/>
                <w:szCs w:val="18"/>
              </w:rPr>
              <w:t xml:space="preserve">If users or journalists find your incidents before your monitoring does, invest in MEASURE</w:t>
            </w:r>
          </w:p>
        </w:tc>
      </w:tr>
      <w:tr>
        <w:tc>
          <w:tcPr>
            <w:tcW w:type="dxa" w:w="1805"/>
            <w:shd w:fill="F2F6FB" w:color="auto" w:val="clear"/>
            <w:tcMar>
              <w:top w:type="dxa" w:w="50"/>
              <w:left w:type="dxa" w:w="80"/>
              <w:bottom w:type="dxa" w:w="50"/>
              <w:right w:type="dxa" w:w="80"/>
            </w:tcMar>
          </w:tcPr>
          <w:p>
            <w:pPr>
              <w:spacing w:after="20" w:line="240"/>
            </w:pPr>
            <w:r>
              <w:rPr>
                <w:sz w:val="18"/>
                <w:szCs w:val="18"/>
              </w:rPr>
              <w:t xml:space="preserve">Recurrence rate</w:t>
            </w:r>
          </w:p>
        </w:tc>
        <w:tc>
          <w:tcPr>
            <w:tcW w:type="dxa" w:w="3249"/>
            <w:shd w:fill="F2F6FB" w:color="auto" w:val="clear"/>
            <w:tcMar>
              <w:top w:type="dxa" w:w="50"/>
              <w:left w:type="dxa" w:w="80"/>
              <w:bottom w:type="dxa" w:w="50"/>
              <w:right w:type="dxa" w:w="80"/>
            </w:tcMar>
          </w:tcPr>
          <w:p>
            <w:pPr>
              <w:spacing w:after="20" w:line="240"/>
            </w:pPr>
            <w:r>
              <w:rPr>
                <w:sz w:val="18"/>
                <w:szCs w:val="18"/>
              </w:rPr>
              <w:t xml:space="preserve">Incidents matching a previously-RCA'd failure class</w:t>
            </w:r>
          </w:p>
        </w:tc>
        <w:tc>
          <w:tcPr>
            <w:tcW w:type="dxa" w:w="3971"/>
            <w:shd w:fill="F2F6FB" w:color="auto" w:val="clear"/>
            <w:tcMar>
              <w:top w:type="dxa" w:w="50"/>
              <w:left w:type="dxa" w:w="80"/>
              <w:bottom w:type="dxa" w:w="50"/>
              <w:right w:type="dxa" w:w="80"/>
            </w:tcMar>
          </w:tcPr>
          <w:p>
            <w:pPr>
              <w:spacing w:after="20" w:line="240"/>
            </w:pPr>
            <w:r>
              <w:rPr>
                <w:sz w:val="18"/>
                <w:szCs w:val="18"/>
              </w:rPr>
              <w:t xml:space="preserve">Tests whether remediation actually addresses classes</w:t>
            </w:r>
          </w:p>
        </w:tc>
      </w:tr>
      <w:tr>
        <w:tc>
          <w:tcPr>
            <w:tcW w:type="dxa" w:w="1805"/>
            <w:tcMar>
              <w:top w:type="dxa" w:w="50"/>
              <w:left w:type="dxa" w:w="80"/>
              <w:bottom w:type="dxa" w:w="50"/>
              <w:right w:type="dxa" w:w="80"/>
            </w:tcMar>
          </w:tcPr>
          <w:p>
            <w:pPr>
              <w:spacing w:after="20" w:line="240"/>
            </w:pPr>
            <w:r>
              <w:rPr>
                <w:sz w:val="18"/>
                <w:szCs w:val="18"/>
              </w:rPr>
              <w:t xml:space="preserve">Near-miss ratio</w:t>
            </w:r>
          </w:p>
        </w:tc>
        <w:tc>
          <w:tcPr>
            <w:tcW w:type="dxa" w:w="3249"/>
            <w:tcMar>
              <w:top w:type="dxa" w:w="50"/>
              <w:left w:type="dxa" w:w="80"/>
              <w:bottom w:type="dxa" w:w="50"/>
              <w:right w:type="dxa" w:w="80"/>
            </w:tcMar>
          </w:tcPr>
          <w:p>
            <w:pPr>
              <w:spacing w:after="20" w:line="240"/>
            </w:pPr>
            <w:r>
              <w:rPr>
                <w:sz w:val="18"/>
                <w:szCs w:val="18"/>
              </w:rPr>
              <w:t xml:space="preserve">Near-misses logged per confirmed incident</w:t>
            </w:r>
          </w:p>
        </w:tc>
        <w:tc>
          <w:tcPr>
            <w:tcW w:type="dxa" w:w="3971"/>
            <w:tcMar>
              <w:top w:type="dxa" w:w="50"/>
              <w:left w:type="dxa" w:w="80"/>
              <w:bottom w:type="dxa" w:w="50"/>
              <w:right w:type="dxa" w:w="80"/>
            </w:tcMar>
          </w:tcPr>
          <w:p>
            <w:pPr>
              <w:spacing w:after="20" w:line="240"/>
            </w:pPr>
            <w:r>
              <w:rPr>
                <w:sz w:val="18"/>
                <w:szCs w:val="18"/>
              </w:rPr>
              <w:t xml:space="preserve">A </w:t>
            </w:r>
            <w:r>
              <w:rPr>
                <w:i/>
                <w:iCs/>
                <w:sz w:val="18"/>
                <w:szCs w:val="18"/>
              </w:rPr>
              <w:t xml:space="preserve">healthy</w:t>
            </w:r>
            <w:r>
              <w:rPr>
                <w:sz w:val="18"/>
                <w:szCs w:val="18"/>
              </w:rPr>
              <w:t xml:space="preserve"> program has high near-miss volume; a falling ratio usually means reporting friction, not safety</w:t>
            </w:r>
          </w:p>
        </w:tc>
      </w:tr>
      <w:tr>
        <w:tc>
          <w:tcPr>
            <w:tcW w:type="dxa" w:w="1805"/>
            <w:shd w:fill="F2F6FB" w:color="auto" w:val="clear"/>
            <w:tcMar>
              <w:top w:type="dxa" w:w="50"/>
              <w:left w:type="dxa" w:w="80"/>
              <w:bottom w:type="dxa" w:w="50"/>
              <w:right w:type="dxa" w:w="80"/>
            </w:tcMar>
          </w:tcPr>
          <w:p>
            <w:pPr>
              <w:spacing w:after="20" w:line="240"/>
            </w:pPr>
            <w:r>
              <w:rPr>
                <w:sz w:val="18"/>
                <w:szCs w:val="18"/>
              </w:rPr>
              <w:t xml:space="preserve">PIR action closure</w:t>
            </w:r>
          </w:p>
        </w:tc>
        <w:tc>
          <w:tcPr>
            <w:tcW w:type="dxa" w:w="3249"/>
            <w:shd w:fill="F2F6FB" w:color="auto" w:val="clear"/>
            <w:tcMar>
              <w:top w:type="dxa" w:w="50"/>
              <w:left w:type="dxa" w:w="80"/>
              <w:bottom w:type="dxa" w:w="50"/>
              <w:right w:type="dxa" w:w="80"/>
            </w:tcMar>
          </w:tcPr>
          <w:p>
            <w:pPr>
              <w:spacing w:after="20" w:line="240"/>
            </w:pPr>
            <w:r>
              <w:rPr>
                <w:sz w:val="18"/>
                <w:szCs w:val="18"/>
              </w:rPr>
              <w:t xml:space="preserve">% closed by due date</w:t>
            </w:r>
          </w:p>
        </w:tc>
        <w:tc>
          <w:tcPr>
            <w:tcW w:type="dxa" w:w="3971"/>
            <w:shd w:fill="F2F6FB" w:color="auto" w:val="clear"/>
            <w:tcMar>
              <w:top w:type="dxa" w:w="50"/>
              <w:left w:type="dxa" w:w="80"/>
              <w:bottom w:type="dxa" w:w="50"/>
              <w:right w:type="dxa" w:w="80"/>
            </w:tcMar>
          </w:tcPr>
          <w:p>
            <w:pPr>
              <w:spacing w:after="20" w:line="240"/>
            </w:pPr>
            <w:r>
              <w:rPr>
                <w:sz w:val="18"/>
                <w:szCs w:val="18"/>
              </w:rPr>
              <w:t xml:space="preserve">Whether learning loops actually close</w:t>
            </w:r>
          </w:p>
        </w:tc>
      </w:tr>
      <w:tr>
        <w:tc>
          <w:tcPr>
            <w:tcW w:type="dxa" w:w="1805"/>
            <w:tcMar>
              <w:top w:type="dxa" w:w="50"/>
              <w:left w:type="dxa" w:w="80"/>
              <w:bottom w:type="dxa" w:w="50"/>
              <w:right w:type="dxa" w:w="80"/>
            </w:tcMar>
          </w:tcPr>
          <w:p>
            <w:pPr>
              <w:spacing w:after="20" w:line="240"/>
            </w:pPr>
            <w:r>
              <w:rPr>
                <w:sz w:val="18"/>
                <w:szCs w:val="18"/>
              </w:rPr>
              <w:t xml:space="preserve">Severity re-grade rate</w:t>
            </w:r>
          </w:p>
        </w:tc>
        <w:tc>
          <w:tcPr>
            <w:tcW w:type="dxa" w:w="3249"/>
            <w:tcMar>
              <w:top w:type="dxa" w:w="50"/>
              <w:left w:type="dxa" w:w="80"/>
              <w:bottom w:type="dxa" w:w="50"/>
              <w:right w:type="dxa" w:w="80"/>
            </w:tcMar>
          </w:tcPr>
          <w:p>
            <w:pPr>
              <w:spacing w:after="20" w:line="240"/>
            </w:pPr>
            <w:r>
              <w:rPr>
                <w:sz w:val="18"/>
                <w:szCs w:val="18"/>
              </w:rPr>
              <w:t xml:space="preserve">% of incidents whose severity changed after initial triage</w:t>
            </w:r>
          </w:p>
        </w:tc>
        <w:tc>
          <w:tcPr>
            <w:tcW w:type="dxa" w:w="3971"/>
            <w:tcMar>
              <w:top w:type="dxa" w:w="50"/>
              <w:left w:type="dxa" w:w="80"/>
              <w:bottom w:type="dxa" w:w="50"/>
              <w:right w:type="dxa" w:w="80"/>
            </w:tcMar>
          </w:tcPr>
          <w:p>
            <w:pPr>
              <w:spacing w:after="20" w:line="240"/>
            </w:pPr>
            <w:r>
              <w:rPr>
                <w:sz w:val="18"/>
                <w:szCs w:val="18"/>
              </w:rPr>
              <w:t xml:space="preserve">Calibrates the triage function itself</w:t>
            </w:r>
          </w:p>
        </w:tc>
      </w:tr>
      <w:tr>
        <w:tc>
          <w:tcPr>
            <w:tcW w:type="dxa" w:w="1805"/>
            <w:shd w:fill="F2F6FB" w:color="auto" w:val="clear"/>
            <w:tcMar>
              <w:top w:type="dxa" w:w="50"/>
              <w:left w:type="dxa" w:w="80"/>
              <w:bottom w:type="dxa" w:w="50"/>
              <w:right w:type="dxa" w:w="80"/>
            </w:tcMar>
          </w:tcPr>
          <w:p>
            <w:pPr>
              <w:spacing w:after="20" w:line="240"/>
            </w:pPr>
            <w:r>
              <w:rPr>
                <w:sz w:val="18"/>
                <w:szCs w:val="18"/>
              </w:rPr>
              <w:t xml:space="preserve">Monitoring precision</w:t>
            </w:r>
          </w:p>
        </w:tc>
        <w:tc>
          <w:tcPr>
            <w:tcW w:type="dxa" w:w="3249"/>
            <w:shd w:fill="F2F6FB" w:color="auto" w:val="clear"/>
            <w:tcMar>
              <w:top w:type="dxa" w:w="50"/>
              <w:left w:type="dxa" w:w="80"/>
              <w:bottom w:type="dxa" w:w="50"/>
              <w:right w:type="dxa" w:w="80"/>
            </w:tcMar>
          </w:tcPr>
          <w:p>
            <w:pPr>
              <w:spacing w:after="20" w:line="240"/>
            </w:pPr>
            <w:r>
              <w:rPr>
                <w:sz w:val="18"/>
                <w:szCs w:val="18"/>
              </w:rPr>
              <w:t xml:space="preserve">% of automated detections confirmed as incidents at triage (vs. False Positive disposition, §6.2)</w:t>
            </w:r>
          </w:p>
        </w:tc>
        <w:tc>
          <w:tcPr>
            <w:tcW w:type="dxa" w:w="3971"/>
            <w:shd w:fill="F2F6FB" w:color="auto" w:val="clear"/>
            <w:tcMar>
              <w:top w:type="dxa" w:w="50"/>
              <w:left w:type="dxa" w:w="80"/>
              <w:bottom w:type="dxa" w:w="50"/>
              <w:right w:type="dxa" w:w="80"/>
            </w:tcMar>
          </w:tcPr>
          <w:p>
            <w:pPr>
              <w:spacing w:after="20" w:line="240"/>
            </w:pPr>
            <w:r>
              <w:rPr>
                <w:sz w:val="18"/>
                <w:szCs w:val="18"/>
              </w:rPr>
              <w:t xml:space="preserve">Guards against alert fatigue — detection that cries wolf gets ignored</w:t>
            </w:r>
          </w:p>
        </w:tc>
      </w:tr>
      <w:tr>
        <w:tc>
          <w:tcPr>
            <w:tcW w:type="dxa" w:w="1805"/>
            <w:tcMar>
              <w:top w:type="dxa" w:w="50"/>
              <w:left w:type="dxa" w:w="80"/>
              <w:bottom w:type="dxa" w:w="50"/>
              <w:right w:type="dxa" w:w="80"/>
            </w:tcMar>
          </w:tcPr>
          <w:p>
            <w:pPr>
              <w:spacing w:after="20" w:line="240"/>
            </w:pPr>
            <w:r>
              <w:rPr>
                <w:sz w:val="18"/>
                <w:szCs w:val="18"/>
              </w:rPr>
              <w:t xml:space="preserve">Containment drill success</w:t>
            </w:r>
          </w:p>
        </w:tc>
        <w:tc>
          <w:tcPr>
            <w:tcW w:type="dxa" w:w="3249"/>
            <w:tcMar>
              <w:top w:type="dxa" w:w="50"/>
              <w:left w:type="dxa" w:w="80"/>
              <w:bottom w:type="dxa" w:w="50"/>
              <w:right w:type="dxa" w:w="80"/>
            </w:tcMar>
          </w:tcPr>
          <w:p>
            <w:pPr>
              <w:spacing w:after="20" w:line="240"/>
            </w:pPr>
            <w:r>
              <w:rPr>
                <w:sz w:val="18"/>
                <w:szCs w:val="18"/>
              </w:rPr>
              <w:t xml:space="preserve">% of quarterly rollback/kill-switch tests (§6.4) executed within target time</w:t>
            </w:r>
          </w:p>
        </w:tc>
        <w:tc>
          <w:tcPr>
            <w:tcW w:type="dxa" w:w="3971"/>
            <w:tcMar>
              <w:top w:type="dxa" w:w="50"/>
              <w:left w:type="dxa" w:w="80"/>
              <w:bottom w:type="dxa" w:w="50"/>
              <w:right w:type="dxa" w:w="80"/>
            </w:tcMar>
          </w:tcPr>
          <w:p>
            <w:pPr>
              <w:spacing w:after="20" w:line="240"/>
            </w:pPr>
            <w:r>
              <w:rPr>
                <w:sz w:val="18"/>
                <w:szCs w:val="18"/>
              </w:rPr>
              <w:t xml:space="preserve">A failed drill is logged as a near-miss; untested containment is a hypothesis</w:t>
            </w:r>
          </w:p>
        </w:tc>
      </w:tr>
      <w:tr>
        <w:tc>
          <w:tcPr>
            <w:tcW w:type="dxa" w:w="1805"/>
            <w:shd w:fill="F2F6FB" w:color="auto" w:val="clear"/>
            <w:tcMar>
              <w:top w:type="dxa" w:w="50"/>
              <w:left w:type="dxa" w:w="80"/>
              <w:bottom w:type="dxa" w:w="50"/>
              <w:right w:type="dxa" w:w="80"/>
            </w:tcMar>
          </w:tcPr>
          <w:p>
            <w:pPr>
              <w:spacing w:after="20" w:line="240"/>
            </w:pPr>
            <w:r>
              <w:rPr>
                <w:sz w:val="18"/>
                <w:szCs w:val="18"/>
              </w:rPr>
              <w:t xml:space="preserve">RCA on-time rate</w:t>
            </w:r>
          </w:p>
        </w:tc>
        <w:tc>
          <w:tcPr>
            <w:tcW w:type="dxa" w:w="3249"/>
            <w:shd w:fill="F2F6FB" w:color="auto" w:val="clear"/>
            <w:tcMar>
              <w:top w:type="dxa" w:w="50"/>
              <w:left w:type="dxa" w:w="80"/>
              <w:bottom w:type="dxa" w:w="50"/>
              <w:right w:type="dxa" w:w="80"/>
            </w:tcMar>
          </w:tcPr>
          <w:p>
            <w:pPr>
              <w:spacing w:after="20" w:line="240"/>
            </w:pPr>
            <w:r>
              <w:rPr>
                <w:sz w:val="18"/>
                <w:szCs w:val="18"/>
              </w:rPr>
              <w:t xml:space="preserve">% of RCAs completed within §6.5 deadlines</w:t>
            </w:r>
          </w:p>
        </w:tc>
        <w:tc>
          <w:tcPr>
            <w:tcW w:type="dxa" w:w="3971"/>
            <w:shd w:fill="F2F6FB" w:color="auto" w:val="clear"/>
            <w:tcMar>
              <w:top w:type="dxa" w:w="50"/>
              <w:left w:type="dxa" w:w="80"/>
              <w:bottom w:type="dxa" w:w="50"/>
              <w:right w:type="dxa" w:w="80"/>
            </w:tcMar>
          </w:tcPr>
          <w:p>
            <w:pPr>
              <w:spacing w:after="20" w:line="240"/>
            </w:pPr>
            <w:r>
              <w:rPr>
                <w:sz w:val="18"/>
                <w:szCs w:val="18"/>
              </w:rPr>
              <w:t xml:space="preserve">Measures whether learning keeps pace with incidents</w:t>
            </w:r>
          </w:p>
        </w:tc>
      </w:tr>
    </w:tbl>
    <w:p>
      <w:pPr>
        <w:spacing w:after="120"/>
      </w:pPr>
    </w:p>
    <w:p>
      <w:pPr>
        <w:spacing w:after="120" w:line="276"/>
      </w:pPr>
      <w:r>
        <w:t xml:space="preserve">All metrics are reported </w:t>
      </w:r>
      <w:r>
        <w:rPr>
          <w:b/>
          <w:bCs/>
        </w:rPr>
        <w:t xml:space="preserve">sliced by AI system, incident category, and model version</w:t>
      </w:r>
      <w:r>
        <w:t xml:space="preserve"> — per-system trends (e.g., rising C7 concentration on a single vendor, or one model version driving recurrence) are the Review Board's early-warning input.</w:t>
      </w:r>
    </w:p>
    <w:p>
      <w:pPr>
        <w:spacing w:after="120" w:line="276"/>
      </w:pPr>
      <w:r>
        <w:t xml:space="preserve">Playbook review: semi-annual, plus after every SEV-1/2 PIR, plus upon material regulatory change or new AI system deployment (Model Inventory addition triggers a scope review of §1.2).</w:t>
      </w:r>
    </w:p>
    <w:p>
      <w:r>
        <w:br w:type="page"/>
      </w:r>
    </w:p>
    <w:p>
      <w:pPr>
        <w:pStyle w:val="Heading1"/>
        <w:spacing w:after="160" w:before="340"/>
      </w:pPr>
      <w:r>
        <w:t xml:space="preserve">Appendix A — Incident Report Template</w:t>
      </w:r>
    </w:p>
    <w:p>
      <w:pPr>
        <w:pBdr>
          <w:left w:val="single" w:color="2E5496" w:sz="12" w:space="8"/>
        </w:pBdr>
        <w:spacing w:after="160"/>
        <w:ind w:left="240"/>
      </w:pPr>
      <w:r>
        <w:rPr>
          <w:i/>
          <w:iCs/>
          <w:color w:val="6B6B6B"/>
          <w:sz w:val="20"/>
          <w:szCs w:val="20"/>
        </w:rPr>
        <w:t xml:space="preserve">Copy this template into the incident tracker for each declared incident. Incident ID format: INC-YYYY-NNN. Classification: Confidential — Incident (default; sharing per §6.3 communication matrix).</w:t>
      </w:r>
    </w:p>
    <w:p>
      <w:pPr>
        <w:pStyle w:val="Heading2"/>
        <w:spacing w:after="120" w:before="260"/>
      </w:pPr>
      <w:r>
        <w:t xml:space="preserve">A.1 Intake (complete at detection)</w:t>
      </w:r>
    </w:p>
    <w:p>
      <w:pPr>
        <w:spacing w:after="90"/>
      </w:pPr>
      <w:r>
        <w:rPr>
          <w:b/>
          <w:bCs/>
          <w:sz w:val="20"/>
          <w:szCs w:val="20"/>
        </w:rPr>
        <w:t xml:space="preserve">Detected (date/time, TZ): </w:t>
      </w:r>
      <w:r>
        <w:rPr>
          <w:color w:val="6B6B6B"/>
          <w:sz w:val="20"/>
          <w:szCs w:val="20"/>
        </w:rPr>
        <w:t xml:space="preserve">________________________________________</w:t>
      </w:r>
    </w:p>
    <w:p>
      <w:pPr>
        <w:spacing w:after="90"/>
      </w:pPr>
      <w:r>
        <w:rPr>
          <w:b/>
          <w:bCs/>
          <w:sz w:val="20"/>
          <w:szCs w:val="20"/>
        </w:rPr>
        <w:t xml:space="preserve">Detection source: </w:t>
      </w:r>
      <w:r>
        <w:rPr>
          <w:color w:val="6B6B6B"/>
          <w:sz w:val="20"/>
          <w:szCs w:val="20"/>
        </w:rPr>
        <w:t xml:space="preserve">[ monitoring | user report | internal | external — specify ]</w:t>
      </w:r>
    </w:p>
    <w:p>
      <w:pPr>
        <w:spacing w:after="90"/>
      </w:pPr>
      <w:r>
        <w:rPr>
          <w:b/>
          <w:bCs/>
          <w:sz w:val="20"/>
          <w:szCs w:val="20"/>
        </w:rPr>
        <w:t xml:space="preserve">Reported by / contact: </w:t>
      </w:r>
      <w:r>
        <w:rPr>
          <w:color w:val="6B6B6B"/>
          <w:sz w:val="20"/>
          <w:szCs w:val="20"/>
        </w:rPr>
        <w:t xml:space="preserve">________________________________________</w:t>
      </w:r>
    </w:p>
    <w:p>
      <w:pPr>
        <w:spacing w:after="90"/>
      </w:pPr>
      <w:r>
        <w:rPr>
          <w:b/>
          <w:bCs/>
          <w:sz w:val="20"/>
          <w:szCs w:val="20"/>
        </w:rPr>
        <w:t xml:space="preserve">Affected AI system(s) + version/config identifiers: </w:t>
      </w:r>
      <w:r>
        <w:rPr>
          <w:color w:val="6B6B6B"/>
          <w:sz w:val="20"/>
          <w:szCs w:val="20"/>
        </w:rPr>
        <w:t xml:space="preserve">________________________________________</w:t>
      </w:r>
    </w:p>
    <w:p>
      <w:pPr>
        <w:spacing w:after="90"/>
      </w:pPr>
      <w:r>
        <w:rPr>
          <w:b/>
          <w:bCs/>
          <w:sz w:val="20"/>
          <w:szCs w:val="20"/>
        </w:rPr>
        <w:t xml:space="preserve">Observed behavior (verbatim examples where possible): </w:t>
      </w:r>
      <w:r>
        <w:rPr>
          <w:color w:val="6B6B6B"/>
          <w:sz w:val="20"/>
          <w:szCs w:val="20"/>
        </w:rPr>
        <w:t xml:space="preserve">________________________________________</w:t>
      </w:r>
    </w:p>
    <w:p>
      <w:pPr>
        <w:spacing w:after="90"/>
      </w:pPr>
      <w:r>
        <w:rPr>
          <w:b/>
          <w:bCs/>
          <w:sz w:val="20"/>
          <w:szCs w:val="20"/>
        </w:rPr>
        <w:t xml:space="preserve">Known scope at intake: </w:t>
      </w:r>
      <w:r>
        <w:rPr>
          <w:color w:val="6B6B6B"/>
          <w:sz w:val="20"/>
          <w:szCs w:val="20"/>
        </w:rPr>
        <w:t xml:space="preserve">[ users affected | ongoing? Y/N | exposure window if known ]</w:t>
      </w:r>
    </w:p>
    <w:p>
      <w:pPr>
        <w:spacing w:after="90"/>
      </w:pPr>
      <w:r>
        <w:rPr>
          <w:b/>
          <w:bCs/>
          <w:sz w:val="20"/>
          <w:szCs w:val="20"/>
        </w:rPr>
        <w:t xml:space="preserve">Evidence links (behavioral snapshot, logs, tickets): </w:t>
      </w:r>
      <w:r>
        <w:rPr>
          <w:color w:val="6B6B6B"/>
          <w:sz w:val="20"/>
          <w:szCs w:val="20"/>
        </w:rPr>
        <w:t xml:space="preserve">________________________________________</w:t>
      </w:r>
    </w:p>
    <w:p>
      <w:pPr>
        <w:pStyle w:val="Heading2"/>
        <w:spacing w:after="120" w:before="260"/>
      </w:pPr>
      <w:r>
        <w:t xml:space="preserve">A.2 Classification (complete at triage; re-validate at each status update)</w:t>
      </w:r>
    </w:p>
    <w:p>
      <w:pPr>
        <w:spacing w:after="90"/>
      </w:pPr>
      <w:r>
        <w:rPr>
          <w:b/>
          <w:bCs/>
          <w:sz w:val="20"/>
          <w:szCs w:val="20"/>
        </w:rPr>
        <w:t xml:space="preserve">Category (primary): </w:t>
      </w:r>
      <w:r>
        <w:rPr>
          <w:color w:val="6B6B6B"/>
          <w:sz w:val="20"/>
          <w:szCs w:val="20"/>
        </w:rPr>
        <w:t xml:space="preserve">C__ — name           Secondary tags: [        ]</w:t>
      </w:r>
    </w:p>
    <w:p>
      <w:pPr>
        <w:spacing w:after="90"/>
      </w:pPr>
      <w:r>
        <w:rPr>
          <w:b/>
          <w:bCs/>
          <w:sz w:val="20"/>
          <w:szCs w:val="20"/>
        </w:rPr>
        <w:t xml:space="preserve">Severity: </w:t>
      </w:r>
      <w:r>
        <w:rPr>
          <w:color w:val="6B6B6B"/>
          <w:sz w:val="20"/>
          <w:szCs w:val="20"/>
        </w:rPr>
        <w:t xml:space="preserve">SEV-__    ☐ Default-up rule applied    ☐ Ongoing-exposure floor applied</w:t>
      </w:r>
    </w:p>
    <w:p>
      <w:pPr>
        <w:spacing w:after="90"/>
      </w:pPr>
      <w:r>
        <w:rPr>
          <w:b/>
          <w:bCs/>
          <w:sz w:val="20"/>
          <w:szCs w:val="20"/>
        </w:rPr>
        <w:t xml:space="preserve">Rationale: </w:t>
      </w:r>
      <w:r>
        <w:rPr>
          <w:color w:val="6B6B6B"/>
          <w:sz w:val="20"/>
          <w:szCs w:val="20"/>
        </w:rPr>
        <w:t xml:space="preserve">impact dimensions: harm / scale / legal / reversibility / ongoing</w:t>
      </w:r>
    </w:p>
    <w:p>
      <w:pPr>
        <w:spacing w:after="90"/>
      </w:pPr>
      <w:r>
        <w:rPr>
          <w:b/>
          <w:bCs/>
          <w:sz w:val="20"/>
          <w:szCs w:val="20"/>
        </w:rPr>
        <w:t xml:space="preserve">Dual-track?: </w:t>
      </w:r>
      <w:r>
        <w:rPr>
          <w:color w:val="6B6B6B"/>
          <w:sz w:val="20"/>
          <w:szCs w:val="20"/>
        </w:rPr>
        <w:t xml:space="preserve">☐ Security IR    ☐ Privacy breach — owners notified at (time): ______</w:t>
      </w:r>
    </w:p>
    <w:p>
      <w:pPr>
        <w:spacing w:after="90"/>
      </w:pPr>
      <w:r>
        <w:rPr>
          <w:b/>
          <w:bCs/>
          <w:sz w:val="20"/>
          <w:szCs w:val="20"/>
        </w:rPr>
        <w:t xml:space="preserve">IC assigned: </w:t>
      </w:r>
      <w:r>
        <w:rPr>
          <w:color w:val="6B6B6B"/>
          <w:sz w:val="20"/>
          <w:szCs w:val="20"/>
        </w:rPr>
        <w:t xml:space="preserve">___________________    Model Owner engaged: ___________________</w:t>
      </w:r>
    </w:p>
    <w:p>
      <w:pPr>
        <w:spacing w:after="90"/>
      </w:pPr>
      <w:r>
        <w:rPr>
          <w:b/>
          <w:bCs/>
          <w:sz w:val="20"/>
          <w:szCs w:val="20"/>
        </w:rPr>
        <w:t xml:space="preserve">Disposition (if closed at triage): </w:t>
      </w:r>
      <w:r>
        <w:rPr>
          <w:color w:val="6B6B6B"/>
          <w:sz w:val="20"/>
          <w:szCs w:val="20"/>
        </w:rPr>
        <w:t xml:space="preserve">☐ Rejected  ☐ False Positive  ☐ Duplicate/Merged → INC-____   Rationale: ______</w:t>
      </w:r>
    </w:p>
    <w:p>
      <w:pPr>
        <w:pStyle w:val="Heading2"/>
        <w:spacing w:after="120" w:before="260"/>
      </w:pPr>
      <w:r>
        <w:t xml:space="preserve">A.3 Timeline (running log — every material event, decision, and comms)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44"/>
        <w:gridCol w:w="5596"/>
        <w:gridCol w:w="1986"/>
      </w:tblGrid>
      <w:tr>
        <w:trPr>
          <w:tblHeader/>
        </w:trPr>
        <w:tc>
          <w:tcPr>
            <w:tcW w:type="dxa" w:w="1444"/>
            <w:shd w:fill="1F3864" w:color="auto" w:val="clear"/>
            <w:tcMar>
              <w:top w:type="dxa" w:w="60"/>
              <w:left w:type="dxa" w:w="80"/>
              <w:bottom w:type="dxa" w:w="60"/>
              <w:right w:type="dxa" w:w="80"/>
            </w:tcMar>
            <w:vAlign w:val="center"/>
          </w:tcPr>
          <w:p>
            <w:pPr>
              <w:spacing w:after="20" w:line="240"/>
            </w:pPr>
            <w:r>
              <w:rPr>
                <w:b/>
                <w:bCs/>
                <w:color w:val="FFFFFF"/>
                <w:sz w:val="18"/>
                <w:szCs w:val="18"/>
              </w:rPr>
              <w:t xml:space="preserve">Time</w:t>
            </w:r>
          </w:p>
        </w:tc>
        <w:tc>
          <w:tcPr>
            <w:tcW w:type="dxa" w:w="5596"/>
            <w:shd w:fill="1F3864" w:color="auto" w:val="clear"/>
            <w:tcMar>
              <w:top w:type="dxa" w:w="60"/>
              <w:left w:type="dxa" w:w="80"/>
              <w:bottom w:type="dxa" w:w="60"/>
              <w:right w:type="dxa" w:w="80"/>
            </w:tcMar>
            <w:vAlign w:val="center"/>
          </w:tcPr>
          <w:p>
            <w:pPr>
              <w:spacing w:after="20" w:line="240"/>
            </w:pPr>
            <w:r>
              <w:rPr>
                <w:b/>
                <w:bCs/>
                <w:color w:val="FFFFFF"/>
                <w:sz w:val="18"/>
                <w:szCs w:val="18"/>
              </w:rPr>
              <w:t xml:space="preserve">Event / decision</w:t>
            </w:r>
          </w:p>
        </w:tc>
        <w:tc>
          <w:tcPr>
            <w:tcW w:type="dxa" w:w="1986"/>
            <w:shd w:fill="1F3864" w:color="auto" w:val="clear"/>
            <w:tcMar>
              <w:top w:type="dxa" w:w="60"/>
              <w:left w:type="dxa" w:w="80"/>
              <w:bottom w:type="dxa" w:w="60"/>
              <w:right w:type="dxa" w:w="80"/>
            </w:tcMar>
            <w:vAlign w:val="center"/>
          </w:tcPr>
          <w:p>
            <w:pPr>
              <w:spacing w:after="20" w:line="240"/>
            </w:pPr>
            <w:r>
              <w:rPr>
                <w:b/>
                <w:bCs/>
                <w:color w:val="FFFFFF"/>
                <w:sz w:val="18"/>
                <w:szCs w:val="18"/>
              </w:rPr>
              <w:t xml:space="preserve">Actor</w:t>
            </w:r>
          </w:p>
        </w:tc>
      </w:tr>
      <w:tr>
        <w:tc>
          <w:tcPr>
            <w:tcW w:type="dxa" w:w="1444"/>
            <w:tcMar>
              <w:top w:type="dxa" w:w="50"/>
              <w:left w:type="dxa" w:w="80"/>
              <w:bottom w:type="dxa" w:w="50"/>
              <w:right w:type="dxa" w:w="80"/>
            </w:tcMar>
          </w:tcPr>
          <w:p>
            <w:pPr>
              <w:spacing w:after="20" w:line="240"/>
            </w:pPr>
          </w:p>
        </w:tc>
        <w:tc>
          <w:tcPr>
            <w:tcW w:type="dxa" w:w="5596"/>
            <w:tcMar>
              <w:top w:type="dxa" w:w="50"/>
              <w:left w:type="dxa" w:w="80"/>
              <w:bottom w:type="dxa" w:w="50"/>
              <w:right w:type="dxa" w:w="80"/>
            </w:tcMar>
          </w:tcPr>
          <w:p>
            <w:pPr>
              <w:spacing w:after="20" w:line="240"/>
            </w:pPr>
          </w:p>
        </w:tc>
        <w:tc>
          <w:tcPr>
            <w:tcW w:type="dxa" w:w="1986"/>
            <w:tcMar>
              <w:top w:type="dxa" w:w="50"/>
              <w:left w:type="dxa" w:w="80"/>
              <w:bottom w:type="dxa" w:w="50"/>
              <w:right w:type="dxa" w:w="80"/>
            </w:tcMar>
          </w:tcPr>
          <w:p>
            <w:pPr>
              <w:spacing w:after="20" w:line="240"/>
            </w:pPr>
          </w:p>
        </w:tc>
      </w:tr>
      <w:tr>
        <w:tc>
          <w:tcPr>
            <w:tcW w:type="dxa" w:w="1444"/>
            <w:shd w:fill="F2F6FB" w:color="auto" w:val="clear"/>
            <w:tcMar>
              <w:top w:type="dxa" w:w="50"/>
              <w:left w:type="dxa" w:w="80"/>
              <w:bottom w:type="dxa" w:w="50"/>
              <w:right w:type="dxa" w:w="80"/>
            </w:tcMar>
          </w:tcPr>
          <w:p>
            <w:pPr>
              <w:spacing w:after="20" w:line="240"/>
            </w:pPr>
          </w:p>
        </w:tc>
        <w:tc>
          <w:tcPr>
            <w:tcW w:type="dxa" w:w="5596"/>
            <w:shd w:fill="F2F6FB" w:color="auto" w:val="clear"/>
            <w:tcMar>
              <w:top w:type="dxa" w:w="50"/>
              <w:left w:type="dxa" w:w="80"/>
              <w:bottom w:type="dxa" w:w="50"/>
              <w:right w:type="dxa" w:w="80"/>
            </w:tcMar>
          </w:tcPr>
          <w:p>
            <w:pPr>
              <w:spacing w:after="20" w:line="240"/>
            </w:pPr>
          </w:p>
        </w:tc>
        <w:tc>
          <w:tcPr>
            <w:tcW w:type="dxa" w:w="1986"/>
            <w:shd w:fill="F2F6FB" w:color="auto" w:val="clear"/>
            <w:tcMar>
              <w:top w:type="dxa" w:w="50"/>
              <w:left w:type="dxa" w:w="80"/>
              <w:bottom w:type="dxa" w:w="50"/>
              <w:right w:type="dxa" w:w="80"/>
            </w:tcMar>
          </w:tcPr>
          <w:p>
            <w:pPr>
              <w:spacing w:after="20" w:line="240"/>
            </w:pPr>
          </w:p>
        </w:tc>
      </w:tr>
      <w:tr>
        <w:tc>
          <w:tcPr>
            <w:tcW w:type="dxa" w:w="1444"/>
            <w:tcMar>
              <w:top w:type="dxa" w:w="50"/>
              <w:left w:type="dxa" w:w="80"/>
              <w:bottom w:type="dxa" w:w="50"/>
              <w:right w:type="dxa" w:w="80"/>
            </w:tcMar>
          </w:tcPr>
          <w:p>
            <w:pPr>
              <w:spacing w:after="20" w:line="240"/>
            </w:pPr>
          </w:p>
        </w:tc>
        <w:tc>
          <w:tcPr>
            <w:tcW w:type="dxa" w:w="5596"/>
            <w:tcMar>
              <w:top w:type="dxa" w:w="50"/>
              <w:left w:type="dxa" w:w="80"/>
              <w:bottom w:type="dxa" w:w="50"/>
              <w:right w:type="dxa" w:w="80"/>
            </w:tcMar>
          </w:tcPr>
          <w:p>
            <w:pPr>
              <w:spacing w:after="20" w:line="240"/>
            </w:pPr>
          </w:p>
        </w:tc>
        <w:tc>
          <w:tcPr>
            <w:tcW w:type="dxa" w:w="1986"/>
            <w:tcMar>
              <w:top w:type="dxa" w:w="50"/>
              <w:left w:type="dxa" w:w="80"/>
              <w:bottom w:type="dxa" w:w="50"/>
              <w:right w:type="dxa" w:w="80"/>
            </w:tcMar>
          </w:tcPr>
          <w:p>
            <w:pPr>
              <w:spacing w:after="20" w:line="240"/>
            </w:pPr>
          </w:p>
        </w:tc>
      </w:tr>
    </w:tbl>
    <w:p>
      <w:pPr>
        <w:spacing w:after="120"/>
      </w:pPr>
    </w:p>
    <w:p>
      <w:pPr>
        <w:pStyle w:val="Heading2"/>
        <w:spacing w:after="120" w:before="260"/>
      </w:pPr>
      <w:r>
        <w:t xml:space="preserve">A.4 Containment</w:t>
      </w:r>
    </w:p>
    <w:p>
      <w:pPr>
        <w:spacing w:after="90"/>
      </w:pPr>
      <w:r>
        <w:rPr>
          <w:b/>
          <w:bCs/>
          <w:sz w:val="20"/>
          <w:szCs w:val="20"/>
        </w:rPr>
        <w:t xml:space="preserve">Actions taken (per §6.4 ladder): </w:t>
      </w:r>
      <w:r>
        <w:rPr>
          <w:color w:val="6B6B6B"/>
          <w:sz w:val="20"/>
          <w:szCs w:val="20"/>
        </w:rPr>
        <w:t xml:space="preserve">________________________________________</w:t>
      </w:r>
    </w:p>
    <w:p>
      <w:pPr>
        <w:spacing w:after="90"/>
      </w:pPr>
      <w:r>
        <w:rPr>
          <w:b/>
          <w:bCs/>
          <w:sz w:val="20"/>
          <w:szCs w:val="20"/>
        </w:rPr>
        <w:t xml:space="preserve">Behavioral snapshot preserved: </w:t>
      </w:r>
      <w:r>
        <w:rPr>
          <w:color w:val="6B6B6B"/>
          <w:sz w:val="20"/>
          <w:szCs w:val="20"/>
        </w:rPr>
        <w:t xml:space="preserve">[link]        Preserved BEFORE changes?  Y / N</w:t>
      </w:r>
    </w:p>
    <w:p>
      <w:pPr>
        <w:spacing w:after="90"/>
      </w:pPr>
      <w:r>
        <w:rPr>
          <w:b/>
          <w:bCs/>
          <w:sz w:val="20"/>
          <w:szCs w:val="20"/>
        </w:rPr>
        <w:t xml:space="preserve">Harm-stopped verification: </w:t>
      </w:r>
      <w:r>
        <w:rPr>
          <w:color w:val="6B6B6B"/>
          <w:sz w:val="20"/>
          <w:szCs w:val="20"/>
        </w:rPr>
        <w:t xml:space="preserve">monitoring evidence, not assertion</w:t>
      </w:r>
    </w:p>
    <w:p>
      <w:pPr>
        <w:spacing w:after="90"/>
      </w:pPr>
      <w:r>
        <w:rPr>
          <w:b/>
          <w:bCs/>
          <w:sz w:val="20"/>
          <w:szCs w:val="20"/>
        </w:rPr>
        <w:t xml:space="preserve">Containment initiated (date/time): </w:t>
      </w:r>
      <w:r>
        <w:rPr>
          <w:color w:val="6B6B6B"/>
          <w:sz w:val="20"/>
          <w:szCs w:val="20"/>
        </w:rPr>
        <w:t xml:space="preserve">________    SLA met? Y/N    Complete (date/time): ________</w:t>
      </w:r>
    </w:p>
    <w:p>
      <w:pPr>
        <w:spacing w:after="120" w:line="276"/>
      </w:pPr>
      <w:r>
        <w:rPr>
          <w:i/>
          <w:iCs/>
        </w:rPr>
        <w:t xml:space="preserve">Evidence log (chain of custody — mandatory C3/C4):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64"/>
        <w:gridCol w:w="1444"/>
        <w:gridCol w:w="1354"/>
        <w:gridCol w:w="1805"/>
        <w:gridCol w:w="1715"/>
        <w:gridCol w:w="1444"/>
      </w:tblGrid>
      <w:tr>
        <w:trPr>
          <w:tblHeader/>
        </w:trPr>
        <w:tc>
          <w:tcPr>
            <w:tcW w:type="dxa" w:w="1264"/>
            <w:shd w:fill="1F3864" w:color="auto" w:val="clear"/>
            <w:tcMar>
              <w:top w:type="dxa" w:w="60"/>
              <w:left w:type="dxa" w:w="80"/>
              <w:bottom w:type="dxa" w:w="60"/>
              <w:right w:type="dxa" w:w="80"/>
            </w:tcMar>
            <w:vAlign w:val="center"/>
          </w:tcPr>
          <w:p>
            <w:pPr>
              <w:spacing w:after="20" w:line="240"/>
            </w:pPr>
            <w:r>
              <w:rPr>
                <w:b/>
                <w:bCs/>
                <w:color w:val="FFFFFF"/>
                <w:sz w:val="18"/>
                <w:szCs w:val="18"/>
              </w:rPr>
              <w:t xml:space="preserve">Evidence ID</w:t>
            </w:r>
          </w:p>
        </w:tc>
        <w:tc>
          <w:tcPr>
            <w:tcW w:type="dxa" w:w="1444"/>
            <w:shd w:fill="1F3864" w:color="auto" w:val="clear"/>
            <w:tcMar>
              <w:top w:type="dxa" w:w="60"/>
              <w:left w:type="dxa" w:w="80"/>
              <w:bottom w:type="dxa" w:w="60"/>
              <w:right w:type="dxa" w:w="80"/>
            </w:tcMar>
            <w:vAlign w:val="center"/>
          </w:tcPr>
          <w:p>
            <w:pPr>
              <w:spacing w:after="20" w:line="240"/>
            </w:pPr>
            <w:r>
              <w:rPr>
                <w:b/>
                <w:bCs/>
                <w:color w:val="FFFFFF"/>
                <w:sz w:val="18"/>
                <w:szCs w:val="18"/>
              </w:rPr>
              <w:t xml:space="preserve">Collected by</w:t>
            </w:r>
          </w:p>
        </w:tc>
        <w:tc>
          <w:tcPr>
            <w:tcW w:type="dxa" w:w="1354"/>
            <w:shd w:fill="1F3864" w:color="auto" w:val="clear"/>
            <w:tcMar>
              <w:top w:type="dxa" w:w="60"/>
              <w:left w:type="dxa" w:w="80"/>
              <w:bottom w:type="dxa" w:w="60"/>
              <w:right w:type="dxa" w:w="80"/>
            </w:tcMar>
            <w:vAlign w:val="center"/>
          </w:tcPr>
          <w:p>
            <w:pPr>
              <w:spacing w:after="20" w:line="240"/>
            </w:pPr>
            <w:r>
              <w:rPr>
                <w:b/>
                <w:bCs/>
                <w:color w:val="FFFFFF"/>
                <w:sz w:val="18"/>
                <w:szCs w:val="18"/>
              </w:rPr>
              <w:t xml:space="preserve">Timestamp</w:t>
            </w:r>
          </w:p>
        </w:tc>
        <w:tc>
          <w:tcPr>
            <w:tcW w:type="dxa" w:w="1805"/>
            <w:shd w:fill="1F3864" w:color="auto" w:val="clear"/>
            <w:tcMar>
              <w:top w:type="dxa" w:w="60"/>
              <w:left w:type="dxa" w:w="80"/>
              <w:bottom w:type="dxa" w:w="60"/>
              <w:right w:type="dxa" w:w="80"/>
            </w:tcMar>
            <w:vAlign w:val="center"/>
          </w:tcPr>
          <w:p>
            <w:pPr>
              <w:spacing w:after="20" w:line="240"/>
            </w:pPr>
            <w:r>
              <w:rPr>
                <w:b/>
                <w:bCs/>
                <w:color w:val="FFFFFF"/>
                <w:sz w:val="18"/>
                <w:szCs w:val="18"/>
              </w:rPr>
              <w:t xml:space="preserve">SHA-256</w:t>
            </w:r>
          </w:p>
        </w:tc>
        <w:tc>
          <w:tcPr>
            <w:tcW w:type="dxa" w:w="1715"/>
            <w:shd w:fill="1F3864" w:color="auto" w:val="clear"/>
            <w:tcMar>
              <w:top w:type="dxa" w:w="60"/>
              <w:left w:type="dxa" w:w="80"/>
              <w:bottom w:type="dxa" w:w="60"/>
              <w:right w:type="dxa" w:w="80"/>
            </w:tcMar>
            <w:vAlign w:val="center"/>
          </w:tcPr>
          <w:p>
            <w:pPr>
              <w:spacing w:after="20" w:line="240"/>
            </w:pPr>
            <w:r>
              <w:rPr>
                <w:b/>
                <w:bCs/>
                <w:color w:val="FFFFFF"/>
                <w:sz w:val="18"/>
                <w:szCs w:val="18"/>
              </w:rPr>
              <w:t xml:space="preserve">Storage location</w:t>
            </w:r>
          </w:p>
        </w:tc>
        <w:tc>
          <w:tcPr>
            <w:tcW w:type="dxa" w:w="1444"/>
            <w:shd w:fill="1F3864" w:color="auto" w:val="clear"/>
            <w:tcMar>
              <w:top w:type="dxa" w:w="60"/>
              <w:left w:type="dxa" w:w="80"/>
              <w:bottom w:type="dxa" w:w="60"/>
              <w:right w:type="dxa" w:w="80"/>
            </w:tcMar>
            <w:vAlign w:val="center"/>
          </w:tcPr>
          <w:p>
            <w:pPr>
              <w:spacing w:after="20" w:line="240"/>
            </w:pPr>
            <w:r>
              <w:rPr>
                <w:b/>
                <w:bCs/>
                <w:color w:val="FFFFFF"/>
                <w:sz w:val="18"/>
                <w:szCs w:val="18"/>
              </w:rPr>
              <w:t xml:space="preserve">Access log</w:t>
            </w:r>
          </w:p>
        </w:tc>
      </w:tr>
      <w:tr>
        <w:tc>
          <w:tcPr>
            <w:tcW w:type="dxa" w:w="1264"/>
            <w:tcMar>
              <w:top w:type="dxa" w:w="50"/>
              <w:left w:type="dxa" w:w="80"/>
              <w:bottom w:type="dxa" w:w="50"/>
              <w:right w:type="dxa" w:w="80"/>
            </w:tcMar>
          </w:tcPr>
          <w:p>
            <w:pPr>
              <w:spacing w:after="20" w:line="240"/>
            </w:pPr>
          </w:p>
        </w:tc>
        <w:tc>
          <w:tcPr>
            <w:tcW w:type="dxa" w:w="1444"/>
            <w:tcMar>
              <w:top w:type="dxa" w:w="50"/>
              <w:left w:type="dxa" w:w="80"/>
              <w:bottom w:type="dxa" w:w="50"/>
              <w:right w:type="dxa" w:w="80"/>
            </w:tcMar>
          </w:tcPr>
          <w:p>
            <w:pPr>
              <w:spacing w:after="20" w:line="240"/>
            </w:pPr>
          </w:p>
        </w:tc>
        <w:tc>
          <w:tcPr>
            <w:tcW w:type="dxa" w:w="1354"/>
            <w:tcMar>
              <w:top w:type="dxa" w:w="50"/>
              <w:left w:type="dxa" w:w="80"/>
              <w:bottom w:type="dxa" w:w="50"/>
              <w:right w:type="dxa" w:w="80"/>
            </w:tcMar>
          </w:tcPr>
          <w:p>
            <w:pPr>
              <w:spacing w:after="20" w:line="240"/>
            </w:pPr>
          </w:p>
        </w:tc>
        <w:tc>
          <w:tcPr>
            <w:tcW w:type="dxa" w:w="1805"/>
            <w:tcMar>
              <w:top w:type="dxa" w:w="50"/>
              <w:left w:type="dxa" w:w="80"/>
              <w:bottom w:type="dxa" w:w="50"/>
              <w:right w:type="dxa" w:w="80"/>
            </w:tcMar>
          </w:tcPr>
          <w:p>
            <w:pPr>
              <w:spacing w:after="20" w:line="240"/>
            </w:pPr>
          </w:p>
        </w:tc>
        <w:tc>
          <w:tcPr>
            <w:tcW w:type="dxa" w:w="1715"/>
            <w:tcMar>
              <w:top w:type="dxa" w:w="50"/>
              <w:left w:type="dxa" w:w="80"/>
              <w:bottom w:type="dxa" w:w="50"/>
              <w:right w:type="dxa" w:w="80"/>
            </w:tcMar>
          </w:tcPr>
          <w:p>
            <w:pPr>
              <w:spacing w:after="20" w:line="240"/>
            </w:pPr>
          </w:p>
        </w:tc>
        <w:tc>
          <w:tcPr>
            <w:tcW w:type="dxa" w:w="1444"/>
            <w:tcMar>
              <w:top w:type="dxa" w:w="50"/>
              <w:left w:type="dxa" w:w="80"/>
              <w:bottom w:type="dxa" w:w="50"/>
              <w:right w:type="dxa" w:w="80"/>
            </w:tcMar>
          </w:tcPr>
          <w:p>
            <w:pPr>
              <w:spacing w:after="20" w:line="240"/>
            </w:pPr>
          </w:p>
        </w:tc>
      </w:tr>
      <w:tr>
        <w:tc>
          <w:tcPr>
            <w:tcW w:type="dxa" w:w="1264"/>
            <w:shd w:fill="F2F6FB" w:color="auto" w:val="clear"/>
            <w:tcMar>
              <w:top w:type="dxa" w:w="50"/>
              <w:left w:type="dxa" w:w="80"/>
              <w:bottom w:type="dxa" w:w="50"/>
              <w:right w:type="dxa" w:w="80"/>
            </w:tcMar>
          </w:tcPr>
          <w:p>
            <w:pPr>
              <w:spacing w:after="20" w:line="240"/>
            </w:pPr>
          </w:p>
        </w:tc>
        <w:tc>
          <w:tcPr>
            <w:tcW w:type="dxa" w:w="1444"/>
            <w:shd w:fill="F2F6FB" w:color="auto" w:val="clear"/>
            <w:tcMar>
              <w:top w:type="dxa" w:w="50"/>
              <w:left w:type="dxa" w:w="80"/>
              <w:bottom w:type="dxa" w:w="50"/>
              <w:right w:type="dxa" w:w="80"/>
            </w:tcMar>
          </w:tcPr>
          <w:p>
            <w:pPr>
              <w:spacing w:after="20" w:line="240"/>
            </w:pPr>
          </w:p>
        </w:tc>
        <w:tc>
          <w:tcPr>
            <w:tcW w:type="dxa" w:w="1354"/>
            <w:shd w:fill="F2F6FB" w:color="auto" w:val="clear"/>
            <w:tcMar>
              <w:top w:type="dxa" w:w="50"/>
              <w:left w:type="dxa" w:w="80"/>
              <w:bottom w:type="dxa" w:w="50"/>
              <w:right w:type="dxa" w:w="80"/>
            </w:tcMar>
          </w:tcPr>
          <w:p>
            <w:pPr>
              <w:spacing w:after="20" w:line="240"/>
            </w:pPr>
          </w:p>
        </w:tc>
        <w:tc>
          <w:tcPr>
            <w:tcW w:type="dxa" w:w="1805"/>
            <w:shd w:fill="F2F6FB" w:color="auto" w:val="clear"/>
            <w:tcMar>
              <w:top w:type="dxa" w:w="50"/>
              <w:left w:type="dxa" w:w="80"/>
              <w:bottom w:type="dxa" w:w="50"/>
              <w:right w:type="dxa" w:w="80"/>
            </w:tcMar>
          </w:tcPr>
          <w:p>
            <w:pPr>
              <w:spacing w:after="20" w:line="240"/>
            </w:pPr>
          </w:p>
        </w:tc>
        <w:tc>
          <w:tcPr>
            <w:tcW w:type="dxa" w:w="1715"/>
            <w:shd w:fill="F2F6FB" w:color="auto" w:val="clear"/>
            <w:tcMar>
              <w:top w:type="dxa" w:w="50"/>
              <w:left w:type="dxa" w:w="80"/>
              <w:bottom w:type="dxa" w:w="50"/>
              <w:right w:type="dxa" w:w="80"/>
            </w:tcMar>
          </w:tcPr>
          <w:p>
            <w:pPr>
              <w:spacing w:after="20" w:line="240"/>
            </w:pPr>
          </w:p>
        </w:tc>
        <w:tc>
          <w:tcPr>
            <w:tcW w:type="dxa" w:w="1444"/>
            <w:shd w:fill="F2F6FB" w:color="auto" w:val="clear"/>
            <w:tcMar>
              <w:top w:type="dxa" w:w="50"/>
              <w:left w:type="dxa" w:w="80"/>
              <w:bottom w:type="dxa" w:w="50"/>
              <w:right w:type="dxa" w:w="80"/>
            </w:tcMar>
          </w:tcPr>
          <w:p>
            <w:pPr>
              <w:spacing w:after="20" w:line="240"/>
            </w:pPr>
          </w:p>
        </w:tc>
      </w:tr>
    </w:tbl>
    <w:p>
      <w:pPr>
        <w:spacing w:after="120"/>
      </w:pPr>
    </w:p>
    <w:p>
      <w:pPr>
        <w:pStyle w:val="Heading2"/>
        <w:spacing w:after="120" w:before="260"/>
      </w:pPr>
      <w:r>
        <w:t xml:space="preserve">A.5 Notifications</w:t>
      </w:r>
    </w:p>
    <w:p>
      <w:pPr>
        <w:spacing w:after="90"/>
      </w:pPr>
      <w:r>
        <w:rPr>
          <w:b/>
          <w:bCs/>
          <w:sz w:val="20"/>
          <w:szCs w:val="20"/>
        </w:rPr>
        <w:t xml:space="preserve">Internal escalations (who, when): </w:t>
      </w:r>
      <w:r>
        <w:rPr>
          <w:color w:val="6B6B6B"/>
          <w:sz w:val="20"/>
          <w:szCs w:val="20"/>
        </w:rPr>
        <w:t xml:space="preserve">________________________________________</w:t>
      </w:r>
    </w:p>
    <w:p>
      <w:pPr>
        <w:spacing w:after="90"/>
      </w:pPr>
      <w:r>
        <w:rPr>
          <w:b/>
          <w:bCs/>
          <w:sz w:val="20"/>
          <w:szCs w:val="20"/>
        </w:rPr>
        <w:t xml:space="preserve">Regulatory clocks assessed: </w:t>
      </w:r>
      <w:r>
        <w:rPr>
          <w:color w:val="6B6B6B"/>
          <w:sz w:val="20"/>
          <w:szCs w:val="20"/>
        </w:rPr>
        <w:t xml:space="preserve">☐ Privacy    ☐ AI-regulation    ☐ Financial    ☐ Contractual</w:t>
      </w:r>
    </w:p>
    <w:p>
      <w:pPr>
        <w:spacing w:after="90"/>
      </w:pPr>
      <w:r>
        <w:rPr>
          <w:b/>
          <w:bCs/>
          <w:sz w:val="20"/>
          <w:szCs w:val="20"/>
        </w:rPr>
        <w:t xml:space="preserve">External notifications made (who, when, by whom): </w:t>
      </w:r>
      <w:r>
        <w:rPr>
          <w:color w:val="6B6B6B"/>
          <w:sz w:val="20"/>
          <w:szCs w:val="20"/>
        </w:rPr>
        <w:t xml:space="preserve">________________________________________</w:t>
      </w:r>
    </w:p>
    <w:p>
      <w:pPr>
        <w:pStyle w:val="Heading2"/>
        <w:spacing w:after="120" w:before="260"/>
      </w:pPr>
      <w:r>
        <w:t xml:space="preserve">A.6 Resolution &amp; closure</w:t>
      </w:r>
    </w:p>
    <w:p>
      <w:pPr>
        <w:spacing w:after="90"/>
      </w:pPr>
      <w:r>
        <w:rPr>
          <w:b/>
          <w:bCs/>
          <w:sz w:val="20"/>
          <w:szCs w:val="20"/>
        </w:rPr>
        <w:t xml:space="preserve">Remediation summary: </w:t>
      </w:r>
      <w:r>
        <w:rPr>
          <w:color w:val="6B6B6B"/>
          <w:sz w:val="20"/>
          <w:szCs w:val="20"/>
        </w:rPr>
        <w:t xml:space="preserve">link full RCA</w:t>
      </w:r>
    </w:p>
    <w:p>
      <w:pPr>
        <w:spacing w:after="90"/>
      </w:pPr>
      <w:r>
        <w:rPr>
          <w:b/>
          <w:bCs/>
          <w:sz w:val="20"/>
          <w:szCs w:val="20"/>
        </w:rPr>
        <w:t xml:space="preserve">Post-remediation observation window: </w:t>
      </w:r>
      <w:r>
        <w:rPr>
          <w:color w:val="6B6B6B"/>
          <w:sz w:val="20"/>
          <w:szCs w:val="20"/>
        </w:rPr>
        <w:t xml:space="preserve">[dates] — failure class absent?  Y / N</w:t>
      </w:r>
    </w:p>
    <w:p>
      <w:pPr>
        <w:spacing w:after="90"/>
      </w:pPr>
      <w:r>
        <w:rPr>
          <w:b/>
          <w:bCs/>
          <w:sz w:val="20"/>
          <w:szCs w:val="20"/>
        </w:rPr>
        <w:t xml:space="preserve">Closure sign-offs (§3.4): </w:t>
      </w:r>
      <w:r>
        <w:rPr>
          <w:color w:val="6B6B6B"/>
          <w:sz w:val="20"/>
          <w:szCs w:val="20"/>
        </w:rPr>
        <w:t xml:space="preserve">IC ______    Model Owner ______    AI Gov Lead (SEV-1/2) ______</w:t>
      </w:r>
    </w:p>
    <w:p>
      <w:pPr>
        <w:spacing w:after="90"/>
      </w:pPr>
      <w:r>
        <w:rPr>
          <w:b/>
          <w:bCs/>
          <w:sz w:val="20"/>
          <w:szCs w:val="20"/>
        </w:rPr>
        <w:t xml:space="preserve">Reopened / linked successor incident (if any): </w:t>
      </w:r>
      <w:r>
        <w:rPr>
          <w:color w:val="6B6B6B"/>
          <w:sz w:val="20"/>
          <w:szCs w:val="20"/>
        </w:rPr>
        <w:t xml:space="preserve">INC-____</w:t>
      </w:r>
    </w:p>
    <w:p>
      <w:pPr>
        <w:spacing w:after="90"/>
      </w:pPr>
      <w:r>
        <w:rPr>
          <w:b/>
          <w:bCs/>
          <w:sz w:val="20"/>
          <w:szCs w:val="20"/>
        </w:rPr>
        <w:t xml:space="preserve">PIR scheduled: </w:t>
      </w:r>
      <w:r>
        <w:rPr>
          <w:color w:val="6B6B6B"/>
          <w:sz w:val="20"/>
          <w:szCs w:val="20"/>
        </w:rPr>
        <w:t xml:space="preserve">________________________________________</w:t>
      </w:r>
    </w:p>
    <w:p>
      <w:r>
        <w:br w:type="page"/>
      </w:r>
    </w:p>
    <w:p>
      <w:pPr>
        <w:pStyle w:val="Heading1"/>
        <w:spacing w:after="160" w:before="340"/>
      </w:pPr>
      <w:r>
        <w:t xml:space="preserve">Appendix B — Root Cause Analysis Template</w:t>
      </w:r>
    </w:p>
    <w:p>
      <w:pPr>
        <w:spacing w:after="90"/>
      </w:pPr>
      <w:r>
        <w:rPr>
          <w:b/>
          <w:bCs/>
          <w:sz w:val="20"/>
          <w:szCs w:val="20"/>
        </w:rPr>
        <w:t xml:space="preserve">Incident: </w:t>
      </w:r>
      <w:r>
        <w:rPr>
          <w:color w:val="6B6B6B"/>
          <w:sz w:val="20"/>
          <w:szCs w:val="20"/>
        </w:rPr>
        <w:t xml:space="preserve">INC-YYYY-NNN — summary (2–3 sentences) + final classification C__/SEV-__</w:t>
      </w:r>
    </w:p>
    <w:p>
      <w:pPr>
        <w:spacing w:after="90"/>
      </w:pPr>
      <w:r>
        <w:rPr>
          <w:b/>
          <w:bCs/>
          <w:sz w:val="20"/>
          <w:szCs w:val="20"/>
        </w:rPr>
        <w:t xml:space="preserve">RCA lead (Model Owner): </w:t>
      </w:r>
      <w:r>
        <w:rPr>
          <w:color w:val="6B6B6B"/>
          <w:sz w:val="20"/>
          <w:szCs w:val="20"/>
        </w:rPr>
        <w:t xml:space="preserve">___________________    Contributors: ___________________</w:t>
      </w:r>
    </w:p>
    <w:p>
      <w:pPr>
        <w:spacing w:after="90"/>
      </w:pPr>
      <w:r>
        <w:rPr>
          <w:b/>
          <w:bCs/>
          <w:sz w:val="20"/>
          <w:szCs w:val="20"/>
        </w:rPr>
        <w:t xml:space="preserve">Behavioral snapshot analyzed: </w:t>
      </w:r>
      <w:r>
        <w:rPr>
          <w:color w:val="6B6B6B"/>
          <w:sz w:val="20"/>
          <w:szCs w:val="20"/>
        </w:rPr>
        <w:t xml:space="preserve">[link + version identifiers]</w:t>
      </w:r>
    </w:p>
    <w:p>
      <w:pPr>
        <w:pStyle w:val="Heading2"/>
        <w:spacing w:after="120" w:before="260"/>
      </w:pPr>
      <w:r>
        <w:t xml:space="preserve">B.1 Reproduction</w:t>
      </w:r>
    </w:p>
    <w:p>
      <w:pPr>
        <w:spacing w:after="90"/>
      </w:pPr>
      <w:r>
        <w:rPr>
          <w:b/>
          <w:bCs/>
          <w:sz w:val="20"/>
          <w:szCs w:val="20"/>
        </w:rPr>
        <w:t xml:space="preserve">Method: </w:t>
      </w:r>
      <w:r>
        <w:rPr>
          <w:color w:val="6B6B6B"/>
          <w:sz w:val="20"/>
          <w:szCs w:val="20"/>
        </w:rPr>
        <w:t xml:space="preserve">against snapshot, pinned versions</w:t>
      </w:r>
    </w:p>
    <w:p>
      <w:pPr>
        <w:spacing w:after="90"/>
      </w:pPr>
      <w:r>
        <w:rPr>
          <w:b/>
          <w:bCs/>
          <w:sz w:val="20"/>
          <w:szCs w:val="20"/>
        </w:rPr>
        <w:t xml:space="preserve">Result incl. reproduction rate: </w:t>
      </w:r>
      <w:r>
        <w:rPr>
          <w:color w:val="6B6B6B"/>
          <w:sz w:val="20"/>
          <w:szCs w:val="20"/>
        </w:rPr>
        <w:t xml:space="preserve">e.g., “7/20 at temp 0.7”</w:t>
      </w:r>
    </w:p>
    <w:p>
      <w:pPr>
        <w:spacing w:after="90"/>
      </w:pPr>
      <w:r>
        <w:rPr>
          <w:b/>
          <w:bCs/>
          <w:sz w:val="20"/>
          <w:szCs w:val="20"/>
        </w:rPr>
        <w:t xml:space="preserve">If not reproducible: </w:t>
      </w:r>
      <w:r>
        <w:rPr>
          <w:color w:val="6B6B6B"/>
          <w:sz w:val="20"/>
          <w:szCs w:val="20"/>
        </w:rPr>
        <w:t xml:space="preserve">hypothesis for why, and what that implies</w:t>
      </w:r>
    </w:p>
    <w:p>
      <w:pPr>
        <w:pStyle w:val="Heading2"/>
        <w:spacing w:after="120" w:before="260"/>
      </w:pPr>
      <w:r>
        <w:t xml:space="preserve">B.2 Contributing factors (expect several; “none found” requires justification)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3069"/>
        <w:gridCol w:w="1986"/>
        <w:gridCol w:w="1805"/>
      </w:tblGrid>
      <w:tr>
        <w:trPr>
          <w:tblHeader/>
        </w:trPr>
        <w:tc>
          <w:tcPr>
            <w:tcW w:type="dxa" w:w="2166"/>
            <w:shd w:fill="1F3864" w:color="auto" w:val="clear"/>
            <w:tcMar>
              <w:top w:type="dxa" w:w="60"/>
              <w:left w:type="dxa" w:w="80"/>
              <w:bottom w:type="dxa" w:w="60"/>
              <w:right w:type="dxa" w:w="80"/>
            </w:tcMar>
            <w:vAlign w:val="center"/>
          </w:tcPr>
          <w:p>
            <w:pPr>
              <w:spacing w:after="20" w:line="240"/>
            </w:pPr>
            <w:r>
              <w:rPr>
                <w:b/>
                <w:bCs/>
                <w:color w:val="FFFFFF"/>
                <w:sz w:val="18"/>
                <w:szCs w:val="18"/>
              </w:rPr>
              <w:t xml:space="preserve">Layer</w:t>
            </w:r>
          </w:p>
        </w:tc>
        <w:tc>
          <w:tcPr>
            <w:tcW w:type="dxa" w:w="3069"/>
            <w:shd w:fill="1F3864" w:color="auto" w:val="clear"/>
            <w:tcMar>
              <w:top w:type="dxa" w:w="60"/>
              <w:left w:type="dxa" w:w="80"/>
              <w:bottom w:type="dxa" w:w="60"/>
              <w:right w:type="dxa" w:w="80"/>
            </w:tcMar>
            <w:vAlign w:val="center"/>
          </w:tcPr>
          <w:p>
            <w:pPr>
              <w:spacing w:after="20" w:line="240"/>
            </w:pPr>
            <w:r>
              <w:rPr>
                <w:b/>
                <w:bCs/>
                <w:color w:val="FFFFFF"/>
                <w:sz w:val="18"/>
                <w:szCs w:val="18"/>
              </w:rPr>
              <w:t xml:space="preserve">Finding</w:t>
            </w:r>
          </w:p>
        </w:tc>
        <w:tc>
          <w:tcPr>
            <w:tcW w:type="dxa" w:w="1986"/>
            <w:shd w:fill="1F3864" w:color="auto" w:val="clear"/>
            <w:tcMar>
              <w:top w:type="dxa" w:w="60"/>
              <w:left w:type="dxa" w:w="80"/>
              <w:bottom w:type="dxa" w:w="60"/>
              <w:right w:type="dxa" w:w="80"/>
            </w:tcMar>
            <w:vAlign w:val="center"/>
          </w:tcPr>
          <w:p>
            <w:pPr>
              <w:spacing w:after="20" w:line="240"/>
            </w:pPr>
            <w:r>
              <w:rPr>
                <w:b/>
                <w:bCs/>
                <w:color w:val="FFFFFF"/>
                <w:sz w:val="18"/>
                <w:szCs w:val="18"/>
              </w:rPr>
              <w:t xml:space="preserve">Evidence</w:t>
            </w:r>
          </w:p>
        </w:tc>
        <w:tc>
          <w:tcPr>
            <w:tcW w:type="dxa" w:w="1805"/>
            <w:shd w:fill="1F3864" w:color="auto" w:val="clear"/>
            <w:tcMar>
              <w:top w:type="dxa" w:w="60"/>
              <w:left w:type="dxa" w:w="80"/>
              <w:bottom w:type="dxa" w:w="60"/>
              <w:right w:type="dxa" w:w="80"/>
            </w:tcMar>
            <w:vAlign w:val="center"/>
          </w:tcPr>
          <w:p>
            <w:pPr>
              <w:spacing w:after="20" w:line="240"/>
            </w:pPr>
            <w:r>
              <w:rPr>
                <w:b/>
                <w:bCs/>
                <w:color w:val="FFFFFF"/>
                <w:sz w:val="18"/>
                <w:szCs w:val="18"/>
              </w:rPr>
              <w:t xml:space="preserve">Contribution</w:t>
            </w:r>
          </w:p>
        </w:tc>
      </w:tr>
      <w:tr>
        <w:tc>
          <w:tcPr>
            <w:tcW w:type="dxa" w:w="2166"/>
            <w:tcMar>
              <w:top w:type="dxa" w:w="50"/>
              <w:left w:type="dxa" w:w="80"/>
              <w:bottom w:type="dxa" w:w="50"/>
              <w:right w:type="dxa" w:w="80"/>
            </w:tcMar>
          </w:tcPr>
          <w:p>
            <w:pPr>
              <w:spacing w:after="20" w:line="240"/>
            </w:pPr>
            <w:r>
              <w:rPr>
                <w:sz w:val="18"/>
                <w:szCs w:val="18"/>
              </w:rPr>
              <w:t xml:space="preserve">Data</w:t>
            </w:r>
          </w:p>
        </w:tc>
        <w:tc>
          <w:tcPr>
            <w:tcW w:type="dxa" w:w="3069"/>
            <w:tcMar>
              <w:top w:type="dxa" w:w="50"/>
              <w:left w:type="dxa" w:w="80"/>
              <w:bottom w:type="dxa" w:w="50"/>
              <w:right w:type="dxa" w:w="80"/>
            </w:tcMar>
          </w:tcPr>
          <w:p>
            <w:pPr>
              <w:spacing w:after="20" w:line="240"/>
            </w:pPr>
          </w:p>
        </w:tc>
        <w:tc>
          <w:tcPr>
            <w:tcW w:type="dxa" w:w="1986"/>
            <w:tcMar>
              <w:top w:type="dxa" w:w="50"/>
              <w:left w:type="dxa" w:w="80"/>
              <w:bottom w:type="dxa" w:w="50"/>
              <w:right w:type="dxa" w:w="80"/>
            </w:tcMar>
          </w:tcPr>
          <w:p>
            <w:pPr>
              <w:spacing w:after="20" w:line="240"/>
            </w:pPr>
          </w:p>
        </w:tc>
        <w:tc>
          <w:tcPr>
            <w:tcW w:type="dxa" w:w="1805"/>
            <w:tcMar>
              <w:top w:type="dxa" w:w="50"/>
              <w:left w:type="dxa" w:w="80"/>
              <w:bottom w:type="dxa" w:w="50"/>
              <w:right w:type="dxa" w:w="80"/>
            </w:tcMar>
          </w:tcPr>
          <w:p>
            <w:pPr>
              <w:spacing w:after="20" w:line="240"/>
            </w:pPr>
          </w:p>
        </w:tc>
      </w:tr>
      <w:tr>
        <w:tc>
          <w:tcPr>
            <w:tcW w:type="dxa" w:w="2166"/>
            <w:shd w:fill="F2F6FB" w:color="auto" w:val="clear"/>
            <w:tcMar>
              <w:top w:type="dxa" w:w="50"/>
              <w:left w:type="dxa" w:w="80"/>
              <w:bottom w:type="dxa" w:w="50"/>
              <w:right w:type="dxa" w:w="80"/>
            </w:tcMar>
          </w:tcPr>
          <w:p>
            <w:pPr>
              <w:spacing w:after="20" w:line="240"/>
            </w:pPr>
            <w:r>
              <w:rPr>
                <w:sz w:val="18"/>
                <w:szCs w:val="18"/>
              </w:rPr>
              <w:t xml:space="preserve">Model</w:t>
            </w:r>
          </w:p>
        </w:tc>
        <w:tc>
          <w:tcPr>
            <w:tcW w:type="dxa" w:w="3069"/>
            <w:shd w:fill="F2F6FB" w:color="auto" w:val="clear"/>
            <w:tcMar>
              <w:top w:type="dxa" w:w="50"/>
              <w:left w:type="dxa" w:w="80"/>
              <w:bottom w:type="dxa" w:w="50"/>
              <w:right w:type="dxa" w:w="80"/>
            </w:tcMar>
          </w:tcPr>
          <w:p>
            <w:pPr>
              <w:spacing w:after="20" w:line="240"/>
            </w:pPr>
          </w:p>
        </w:tc>
        <w:tc>
          <w:tcPr>
            <w:tcW w:type="dxa" w:w="1986"/>
            <w:shd w:fill="F2F6FB" w:color="auto" w:val="clear"/>
            <w:tcMar>
              <w:top w:type="dxa" w:w="50"/>
              <w:left w:type="dxa" w:w="80"/>
              <w:bottom w:type="dxa" w:w="50"/>
              <w:right w:type="dxa" w:w="80"/>
            </w:tcMar>
          </w:tcPr>
          <w:p>
            <w:pPr>
              <w:spacing w:after="20" w:line="240"/>
            </w:pPr>
          </w:p>
        </w:tc>
        <w:tc>
          <w:tcPr>
            <w:tcW w:type="dxa" w:w="1805"/>
            <w:shd w:fill="F2F6FB" w:color="auto" w:val="clear"/>
            <w:tcMar>
              <w:top w:type="dxa" w:w="50"/>
              <w:left w:type="dxa" w:w="80"/>
              <w:bottom w:type="dxa" w:w="50"/>
              <w:right w:type="dxa" w:w="80"/>
            </w:tcMar>
          </w:tcPr>
          <w:p>
            <w:pPr>
              <w:spacing w:after="20" w:line="240"/>
            </w:pPr>
          </w:p>
        </w:tc>
      </w:tr>
      <w:tr>
        <w:tc>
          <w:tcPr>
            <w:tcW w:type="dxa" w:w="2166"/>
            <w:tcMar>
              <w:top w:type="dxa" w:w="50"/>
              <w:left w:type="dxa" w:w="80"/>
              <w:bottom w:type="dxa" w:w="50"/>
              <w:right w:type="dxa" w:w="80"/>
            </w:tcMar>
          </w:tcPr>
          <w:p>
            <w:pPr>
              <w:spacing w:after="20" w:line="240"/>
            </w:pPr>
            <w:r>
              <w:rPr>
                <w:sz w:val="18"/>
                <w:szCs w:val="18"/>
              </w:rPr>
              <w:t xml:space="preserve">Prompt &amp; configuration</w:t>
            </w:r>
          </w:p>
        </w:tc>
        <w:tc>
          <w:tcPr>
            <w:tcW w:type="dxa" w:w="3069"/>
            <w:tcMar>
              <w:top w:type="dxa" w:w="50"/>
              <w:left w:type="dxa" w:w="80"/>
              <w:bottom w:type="dxa" w:w="50"/>
              <w:right w:type="dxa" w:w="80"/>
            </w:tcMar>
          </w:tcPr>
          <w:p>
            <w:pPr>
              <w:spacing w:after="20" w:line="240"/>
            </w:pPr>
          </w:p>
        </w:tc>
        <w:tc>
          <w:tcPr>
            <w:tcW w:type="dxa" w:w="1986"/>
            <w:tcMar>
              <w:top w:type="dxa" w:w="50"/>
              <w:left w:type="dxa" w:w="80"/>
              <w:bottom w:type="dxa" w:w="50"/>
              <w:right w:type="dxa" w:w="80"/>
            </w:tcMar>
          </w:tcPr>
          <w:p>
            <w:pPr>
              <w:spacing w:after="20" w:line="240"/>
            </w:pPr>
          </w:p>
        </w:tc>
        <w:tc>
          <w:tcPr>
            <w:tcW w:type="dxa" w:w="1805"/>
            <w:tcMar>
              <w:top w:type="dxa" w:w="50"/>
              <w:left w:type="dxa" w:w="80"/>
              <w:bottom w:type="dxa" w:w="50"/>
              <w:right w:type="dxa" w:w="80"/>
            </w:tcMar>
          </w:tcPr>
          <w:p>
            <w:pPr>
              <w:spacing w:after="20" w:line="240"/>
            </w:pPr>
          </w:p>
        </w:tc>
      </w:tr>
      <w:tr>
        <w:tc>
          <w:tcPr>
            <w:tcW w:type="dxa" w:w="2166"/>
            <w:shd w:fill="F2F6FB" w:color="auto" w:val="clear"/>
            <w:tcMar>
              <w:top w:type="dxa" w:w="50"/>
              <w:left w:type="dxa" w:w="80"/>
              <w:bottom w:type="dxa" w:w="50"/>
              <w:right w:type="dxa" w:w="80"/>
            </w:tcMar>
          </w:tcPr>
          <w:p>
            <w:pPr>
              <w:spacing w:after="20" w:line="240"/>
            </w:pPr>
            <w:r>
              <w:rPr>
                <w:sz w:val="18"/>
                <w:szCs w:val="18"/>
              </w:rPr>
              <w:t xml:space="preserve">Integration</w:t>
            </w:r>
          </w:p>
        </w:tc>
        <w:tc>
          <w:tcPr>
            <w:tcW w:type="dxa" w:w="3069"/>
            <w:shd w:fill="F2F6FB" w:color="auto" w:val="clear"/>
            <w:tcMar>
              <w:top w:type="dxa" w:w="50"/>
              <w:left w:type="dxa" w:w="80"/>
              <w:bottom w:type="dxa" w:w="50"/>
              <w:right w:type="dxa" w:w="80"/>
            </w:tcMar>
          </w:tcPr>
          <w:p>
            <w:pPr>
              <w:spacing w:after="20" w:line="240"/>
            </w:pPr>
          </w:p>
        </w:tc>
        <w:tc>
          <w:tcPr>
            <w:tcW w:type="dxa" w:w="1986"/>
            <w:shd w:fill="F2F6FB" w:color="auto" w:val="clear"/>
            <w:tcMar>
              <w:top w:type="dxa" w:w="50"/>
              <w:left w:type="dxa" w:w="80"/>
              <w:bottom w:type="dxa" w:w="50"/>
              <w:right w:type="dxa" w:w="80"/>
            </w:tcMar>
          </w:tcPr>
          <w:p>
            <w:pPr>
              <w:spacing w:after="20" w:line="240"/>
            </w:pPr>
          </w:p>
        </w:tc>
        <w:tc>
          <w:tcPr>
            <w:tcW w:type="dxa" w:w="1805"/>
            <w:shd w:fill="F2F6FB" w:color="auto" w:val="clear"/>
            <w:tcMar>
              <w:top w:type="dxa" w:w="50"/>
              <w:left w:type="dxa" w:w="80"/>
              <w:bottom w:type="dxa" w:w="50"/>
              <w:right w:type="dxa" w:w="80"/>
            </w:tcMar>
          </w:tcPr>
          <w:p>
            <w:pPr>
              <w:spacing w:after="20" w:line="240"/>
            </w:pPr>
          </w:p>
        </w:tc>
      </w:tr>
      <w:tr>
        <w:tc>
          <w:tcPr>
            <w:tcW w:type="dxa" w:w="2166"/>
            <w:tcMar>
              <w:top w:type="dxa" w:w="50"/>
              <w:left w:type="dxa" w:w="80"/>
              <w:bottom w:type="dxa" w:w="50"/>
              <w:right w:type="dxa" w:w="80"/>
            </w:tcMar>
          </w:tcPr>
          <w:p>
            <w:pPr>
              <w:spacing w:after="20" w:line="240"/>
            </w:pPr>
            <w:r>
              <w:rPr>
                <w:sz w:val="18"/>
                <w:szCs w:val="18"/>
              </w:rPr>
              <w:t xml:space="preserve">Human &amp; process</w:t>
            </w:r>
          </w:p>
        </w:tc>
        <w:tc>
          <w:tcPr>
            <w:tcW w:type="dxa" w:w="3069"/>
            <w:tcMar>
              <w:top w:type="dxa" w:w="50"/>
              <w:left w:type="dxa" w:w="80"/>
              <w:bottom w:type="dxa" w:w="50"/>
              <w:right w:type="dxa" w:w="80"/>
            </w:tcMar>
          </w:tcPr>
          <w:p>
            <w:pPr>
              <w:spacing w:after="20" w:line="240"/>
            </w:pPr>
          </w:p>
        </w:tc>
        <w:tc>
          <w:tcPr>
            <w:tcW w:type="dxa" w:w="1986"/>
            <w:tcMar>
              <w:top w:type="dxa" w:w="50"/>
              <w:left w:type="dxa" w:w="80"/>
              <w:bottom w:type="dxa" w:w="50"/>
              <w:right w:type="dxa" w:w="80"/>
            </w:tcMar>
          </w:tcPr>
          <w:p>
            <w:pPr>
              <w:spacing w:after="20" w:line="240"/>
            </w:pPr>
          </w:p>
        </w:tc>
        <w:tc>
          <w:tcPr>
            <w:tcW w:type="dxa" w:w="1805"/>
            <w:tcMar>
              <w:top w:type="dxa" w:w="50"/>
              <w:left w:type="dxa" w:w="80"/>
              <w:bottom w:type="dxa" w:w="50"/>
              <w:right w:type="dxa" w:w="80"/>
            </w:tcMar>
          </w:tcPr>
          <w:p>
            <w:pPr>
              <w:spacing w:after="20" w:line="240"/>
            </w:pPr>
          </w:p>
        </w:tc>
      </w:tr>
    </w:tbl>
    <w:p>
      <w:pPr>
        <w:spacing w:after="120"/>
      </w:pPr>
    </w:p>
    <w:p>
      <w:pPr>
        <w:pStyle w:val="Heading2"/>
        <w:spacing w:after="120" w:before="260"/>
      </w:pPr>
      <w:r>
        <w:t xml:space="preserve">B.3 Standing questions</w:t>
      </w:r>
    </w:p>
    <w:p>
      <w:pPr>
        <w:pStyle w:val="ListParagraph"/>
        <w:numPr>
          <w:ilvl w:val="0"/>
          <w:numId w:val="8"/>
        </w:numPr>
        <w:spacing w:after="80" w:line="276"/>
      </w:pPr>
      <w:r>
        <w:t xml:space="preserve">Why didn't pre-deployment evaluation catch this?</w:t>
      </w:r>
    </w:p>
    <w:p>
      <w:pPr>
        <w:pStyle w:val="ListParagraph"/>
        <w:numPr>
          <w:ilvl w:val="0"/>
          <w:numId w:val="8"/>
        </w:numPr>
        <w:spacing w:after="80" w:line="276"/>
      </w:pPr>
      <w:r>
        <w:t xml:space="preserve">Why didn't production monitoring catch it earlier?</w:t>
      </w:r>
    </w:p>
    <w:p>
      <w:pPr>
        <w:pStyle w:val="ListParagraph"/>
        <w:numPr>
          <w:ilvl w:val="0"/>
          <w:numId w:val="8"/>
        </w:numPr>
        <w:spacing w:after="80" w:line="276"/>
      </w:pPr>
      <w:r>
        <w:t xml:space="preserve">Was this failure mode in the risk register? Disposition:</w:t>
      </w:r>
    </w:p>
    <w:p>
      <w:pPr>
        <w:pStyle w:val="Heading2"/>
        <w:spacing w:after="120" w:before="260"/>
      </w:pPr>
      <w:r>
        <w:t xml:space="preserve">B.4 Remediation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64"/>
        <w:gridCol w:w="3069"/>
        <w:gridCol w:w="1444"/>
        <w:gridCol w:w="1083"/>
        <w:gridCol w:w="2166"/>
      </w:tblGrid>
      <w:tr>
        <w:trPr>
          <w:tblHeader/>
        </w:trPr>
        <w:tc>
          <w:tcPr>
            <w:tcW w:type="dxa" w:w="1264"/>
            <w:shd w:fill="1F3864" w:color="auto" w:val="clear"/>
            <w:tcMar>
              <w:top w:type="dxa" w:w="60"/>
              <w:left w:type="dxa" w:w="80"/>
              <w:bottom w:type="dxa" w:w="60"/>
              <w:right w:type="dxa" w:w="80"/>
            </w:tcMar>
            <w:vAlign w:val="center"/>
          </w:tcPr>
          <w:p>
            <w:pPr>
              <w:spacing w:after="20" w:line="240"/>
            </w:pPr>
            <w:r>
              <w:rPr>
                <w:b/>
                <w:bCs/>
                <w:color w:val="FFFFFF"/>
                <w:sz w:val="18"/>
                <w:szCs w:val="18"/>
              </w:rPr>
              <w:t xml:space="preserve">Level</w:t>
            </w:r>
          </w:p>
        </w:tc>
        <w:tc>
          <w:tcPr>
            <w:tcW w:type="dxa" w:w="3069"/>
            <w:shd w:fill="1F3864" w:color="auto" w:val="clear"/>
            <w:tcMar>
              <w:top w:type="dxa" w:w="60"/>
              <w:left w:type="dxa" w:w="80"/>
              <w:bottom w:type="dxa" w:w="60"/>
              <w:right w:type="dxa" w:w="80"/>
            </w:tcMar>
            <w:vAlign w:val="center"/>
          </w:tcPr>
          <w:p>
            <w:pPr>
              <w:spacing w:after="20" w:line="240"/>
            </w:pPr>
            <w:r>
              <w:rPr>
                <w:b/>
                <w:bCs/>
                <w:color w:val="FFFFFF"/>
                <w:sz w:val="18"/>
                <w:szCs w:val="18"/>
              </w:rPr>
              <w:t xml:space="preserve">Action</w:t>
            </w:r>
          </w:p>
        </w:tc>
        <w:tc>
          <w:tcPr>
            <w:tcW w:type="dxa" w:w="1444"/>
            <w:shd w:fill="1F3864" w:color="auto" w:val="clear"/>
            <w:tcMar>
              <w:top w:type="dxa" w:w="60"/>
              <w:left w:type="dxa" w:w="80"/>
              <w:bottom w:type="dxa" w:w="60"/>
              <w:right w:type="dxa" w:w="80"/>
            </w:tcMar>
            <w:vAlign w:val="center"/>
          </w:tcPr>
          <w:p>
            <w:pPr>
              <w:spacing w:after="20" w:line="240"/>
            </w:pPr>
            <w:r>
              <w:rPr>
                <w:b/>
                <w:bCs/>
                <w:color w:val="FFFFFF"/>
                <w:sz w:val="18"/>
                <w:szCs w:val="18"/>
              </w:rPr>
              <w:t xml:space="preserve">Owner</w:t>
            </w:r>
          </w:p>
        </w:tc>
        <w:tc>
          <w:tcPr>
            <w:tcW w:type="dxa" w:w="1083"/>
            <w:shd w:fill="1F3864" w:color="auto" w:val="clear"/>
            <w:tcMar>
              <w:top w:type="dxa" w:w="60"/>
              <w:left w:type="dxa" w:w="80"/>
              <w:bottom w:type="dxa" w:w="60"/>
              <w:right w:type="dxa" w:w="80"/>
            </w:tcMar>
            <w:vAlign w:val="center"/>
          </w:tcPr>
          <w:p>
            <w:pPr>
              <w:spacing w:after="20" w:line="240"/>
            </w:pPr>
            <w:r>
              <w:rPr>
                <w:b/>
                <w:bCs/>
                <w:color w:val="FFFFFF"/>
                <w:sz w:val="18"/>
                <w:szCs w:val="18"/>
              </w:rPr>
              <w:t xml:space="preserve">Due</w:t>
            </w:r>
          </w:p>
        </w:tc>
        <w:tc>
          <w:tcPr>
            <w:tcW w:type="dxa" w:w="2166"/>
            <w:shd w:fill="1F3864" w:color="auto" w:val="clear"/>
            <w:tcMar>
              <w:top w:type="dxa" w:w="60"/>
              <w:left w:type="dxa" w:w="80"/>
              <w:bottom w:type="dxa" w:w="60"/>
              <w:right w:type="dxa" w:w="80"/>
            </w:tcMar>
            <w:vAlign w:val="center"/>
          </w:tcPr>
          <w:p>
            <w:pPr>
              <w:spacing w:after="20" w:line="240"/>
            </w:pPr>
            <w:r>
              <w:rPr>
                <w:b/>
                <w:bCs/>
                <w:color w:val="FFFFFF"/>
                <w:sz w:val="18"/>
                <w:szCs w:val="18"/>
              </w:rPr>
              <w:t xml:space="preserve">Verification method</w:t>
            </w:r>
          </w:p>
        </w:tc>
      </w:tr>
      <w:tr>
        <w:tc>
          <w:tcPr>
            <w:tcW w:type="dxa" w:w="1264"/>
            <w:tcMar>
              <w:top w:type="dxa" w:w="50"/>
              <w:left w:type="dxa" w:w="80"/>
              <w:bottom w:type="dxa" w:w="50"/>
              <w:right w:type="dxa" w:w="80"/>
            </w:tcMar>
          </w:tcPr>
          <w:p>
            <w:pPr>
              <w:spacing w:after="20" w:line="240"/>
            </w:pPr>
            <w:r>
              <w:rPr>
                <w:sz w:val="18"/>
                <w:szCs w:val="18"/>
              </w:rPr>
              <w:t xml:space="preserve">Instance</w:t>
            </w:r>
          </w:p>
        </w:tc>
        <w:tc>
          <w:tcPr>
            <w:tcW w:type="dxa" w:w="3069"/>
            <w:tcMar>
              <w:top w:type="dxa" w:w="50"/>
              <w:left w:type="dxa" w:w="80"/>
              <w:bottom w:type="dxa" w:w="50"/>
              <w:right w:type="dxa" w:w="80"/>
            </w:tcMar>
          </w:tcPr>
          <w:p>
            <w:pPr>
              <w:spacing w:after="20" w:line="240"/>
            </w:pPr>
          </w:p>
        </w:tc>
        <w:tc>
          <w:tcPr>
            <w:tcW w:type="dxa" w:w="1444"/>
            <w:tcMar>
              <w:top w:type="dxa" w:w="50"/>
              <w:left w:type="dxa" w:w="80"/>
              <w:bottom w:type="dxa" w:w="50"/>
              <w:right w:type="dxa" w:w="80"/>
            </w:tcMar>
          </w:tcPr>
          <w:p>
            <w:pPr>
              <w:spacing w:after="20" w:line="240"/>
            </w:pPr>
          </w:p>
        </w:tc>
        <w:tc>
          <w:tcPr>
            <w:tcW w:type="dxa" w:w="1083"/>
            <w:tcMar>
              <w:top w:type="dxa" w:w="50"/>
              <w:left w:type="dxa" w:w="80"/>
              <w:bottom w:type="dxa" w:w="50"/>
              <w:right w:type="dxa" w:w="80"/>
            </w:tcMar>
          </w:tcPr>
          <w:p>
            <w:pPr>
              <w:spacing w:after="20" w:line="240"/>
            </w:pPr>
          </w:p>
        </w:tc>
        <w:tc>
          <w:tcPr>
            <w:tcW w:type="dxa" w:w="2166"/>
            <w:tcMar>
              <w:top w:type="dxa" w:w="50"/>
              <w:left w:type="dxa" w:w="80"/>
              <w:bottom w:type="dxa" w:w="50"/>
              <w:right w:type="dxa" w:w="80"/>
            </w:tcMar>
          </w:tcPr>
          <w:p>
            <w:pPr>
              <w:spacing w:after="20" w:line="240"/>
            </w:pPr>
          </w:p>
        </w:tc>
      </w:tr>
      <w:tr>
        <w:tc>
          <w:tcPr>
            <w:tcW w:type="dxa" w:w="1264"/>
            <w:shd w:fill="F2F6FB" w:color="auto" w:val="clear"/>
            <w:tcMar>
              <w:top w:type="dxa" w:w="50"/>
              <w:left w:type="dxa" w:w="80"/>
              <w:bottom w:type="dxa" w:w="50"/>
              <w:right w:type="dxa" w:w="80"/>
            </w:tcMar>
          </w:tcPr>
          <w:p>
            <w:pPr>
              <w:spacing w:after="20" w:line="240"/>
            </w:pPr>
            <w:r>
              <w:rPr>
                <w:sz w:val="18"/>
                <w:szCs w:val="18"/>
              </w:rPr>
              <w:t xml:space="preserve">Class</w:t>
            </w:r>
          </w:p>
        </w:tc>
        <w:tc>
          <w:tcPr>
            <w:tcW w:type="dxa" w:w="3069"/>
            <w:shd w:fill="F2F6FB" w:color="auto" w:val="clear"/>
            <w:tcMar>
              <w:top w:type="dxa" w:w="50"/>
              <w:left w:type="dxa" w:w="80"/>
              <w:bottom w:type="dxa" w:w="50"/>
              <w:right w:type="dxa" w:w="80"/>
            </w:tcMar>
          </w:tcPr>
          <w:p>
            <w:pPr>
              <w:spacing w:after="20" w:line="240"/>
            </w:pPr>
          </w:p>
        </w:tc>
        <w:tc>
          <w:tcPr>
            <w:tcW w:type="dxa" w:w="1444"/>
            <w:shd w:fill="F2F6FB" w:color="auto" w:val="clear"/>
            <w:tcMar>
              <w:top w:type="dxa" w:w="50"/>
              <w:left w:type="dxa" w:w="80"/>
              <w:bottom w:type="dxa" w:w="50"/>
              <w:right w:type="dxa" w:w="80"/>
            </w:tcMar>
          </w:tcPr>
          <w:p>
            <w:pPr>
              <w:spacing w:after="20" w:line="240"/>
            </w:pPr>
          </w:p>
        </w:tc>
        <w:tc>
          <w:tcPr>
            <w:tcW w:type="dxa" w:w="1083"/>
            <w:shd w:fill="F2F6FB" w:color="auto" w:val="clear"/>
            <w:tcMar>
              <w:top w:type="dxa" w:w="50"/>
              <w:left w:type="dxa" w:w="80"/>
              <w:bottom w:type="dxa" w:w="50"/>
              <w:right w:type="dxa" w:w="80"/>
            </w:tcMar>
          </w:tcPr>
          <w:p>
            <w:pPr>
              <w:spacing w:after="20" w:line="240"/>
            </w:pPr>
          </w:p>
        </w:tc>
        <w:tc>
          <w:tcPr>
            <w:tcW w:type="dxa" w:w="2166"/>
            <w:shd w:fill="F2F6FB" w:color="auto" w:val="clear"/>
            <w:tcMar>
              <w:top w:type="dxa" w:w="50"/>
              <w:left w:type="dxa" w:w="80"/>
              <w:bottom w:type="dxa" w:w="50"/>
              <w:right w:type="dxa" w:w="80"/>
            </w:tcMar>
          </w:tcPr>
          <w:p>
            <w:pPr>
              <w:spacing w:after="20" w:line="240"/>
            </w:pPr>
          </w:p>
        </w:tc>
      </w:tr>
      <w:tr>
        <w:tc>
          <w:tcPr>
            <w:tcW w:type="dxa" w:w="1264"/>
            <w:tcMar>
              <w:top w:type="dxa" w:w="50"/>
              <w:left w:type="dxa" w:w="80"/>
              <w:bottom w:type="dxa" w:w="50"/>
              <w:right w:type="dxa" w:w="80"/>
            </w:tcMar>
          </w:tcPr>
          <w:p>
            <w:pPr>
              <w:spacing w:after="20" w:line="240"/>
            </w:pPr>
            <w:r>
              <w:rPr>
                <w:sz w:val="18"/>
                <w:szCs w:val="18"/>
              </w:rPr>
              <w:t xml:space="preserve">Program</w:t>
            </w:r>
          </w:p>
        </w:tc>
        <w:tc>
          <w:tcPr>
            <w:tcW w:type="dxa" w:w="3069"/>
            <w:tcMar>
              <w:top w:type="dxa" w:w="50"/>
              <w:left w:type="dxa" w:w="80"/>
              <w:bottom w:type="dxa" w:w="50"/>
              <w:right w:type="dxa" w:w="80"/>
            </w:tcMar>
          </w:tcPr>
          <w:p>
            <w:pPr>
              <w:spacing w:after="20" w:line="240"/>
            </w:pPr>
          </w:p>
        </w:tc>
        <w:tc>
          <w:tcPr>
            <w:tcW w:type="dxa" w:w="1444"/>
            <w:tcMar>
              <w:top w:type="dxa" w:w="50"/>
              <w:left w:type="dxa" w:w="80"/>
              <w:bottom w:type="dxa" w:w="50"/>
              <w:right w:type="dxa" w:w="80"/>
            </w:tcMar>
          </w:tcPr>
          <w:p>
            <w:pPr>
              <w:spacing w:after="20" w:line="240"/>
            </w:pPr>
          </w:p>
        </w:tc>
        <w:tc>
          <w:tcPr>
            <w:tcW w:type="dxa" w:w="1083"/>
            <w:tcMar>
              <w:top w:type="dxa" w:w="50"/>
              <w:left w:type="dxa" w:w="80"/>
              <w:bottom w:type="dxa" w:w="50"/>
              <w:right w:type="dxa" w:w="80"/>
            </w:tcMar>
          </w:tcPr>
          <w:p>
            <w:pPr>
              <w:spacing w:after="20" w:line="240"/>
            </w:pPr>
          </w:p>
        </w:tc>
        <w:tc>
          <w:tcPr>
            <w:tcW w:type="dxa" w:w="2166"/>
            <w:tcMar>
              <w:top w:type="dxa" w:w="50"/>
              <w:left w:type="dxa" w:w="80"/>
              <w:bottom w:type="dxa" w:w="50"/>
              <w:right w:type="dxa" w:w="80"/>
            </w:tcMar>
          </w:tcPr>
          <w:p>
            <w:pPr>
              <w:spacing w:after="20" w:line="240"/>
            </w:pPr>
          </w:p>
        </w:tc>
      </w:tr>
    </w:tbl>
    <w:p>
      <w:pPr>
        <w:spacing w:after="120"/>
      </w:pPr>
    </w:p>
    <w:p>
      <w:pPr>
        <w:pStyle w:val="Heading2"/>
        <w:spacing w:after="120" w:before="260"/>
      </w:pPr>
      <w:r>
        <w:t xml:space="preserve">B.5 Redeployment gate evidence (if model/prompt/config changed)</w:t>
      </w:r>
    </w:p>
    <w:p>
      <w:pPr>
        <w:spacing w:after="90"/>
      </w:pPr>
      <w:r>
        <w:rPr>
          <w:b/>
          <w:bCs/>
          <w:sz w:val="20"/>
          <w:szCs w:val="20"/>
        </w:rPr>
        <w:t xml:space="preserve">Regression evals passed (incl. new incident-derived cases): </w:t>
      </w:r>
      <w:r>
        <w:rPr>
          <w:color w:val="6B6B6B"/>
          <w:sz w:val="20"/>
          <w:szCs w:val="20"/>
        </w:rPr>
        <w:t xml:space="preserve">[link]</w:t>
      </w:r>
    </w:p>
    <w:p>
      <w:pPr>
        <w:spacing w:after="90"/>
      </w:pPr>
      <w:r>
        <w:rPr>
          <w:b/>
          <w:bCs/>
          <w:sz w:val="20"/>
          <w:szCs w:val="20"/>
        </w:rPr>
        <w:t xml:space="preserve">Staged rollout plan + monitoring signals: </w:t>
      </w:r>
      <w:r>
        <w:rPr>
          <w:color w:val="6B6B6B"/>
          <w:sz w:val="20"/>
          <w:szCs w:val="20"/>
        </w:rPr>
        <w:t xml:space="preserve">________________________________________</w:t>
      </w:r>
    </w:p>
    <w:p>
      <w:pPr>
        <w:spacing w:after="90"/>
      </w:pPr>
      <w:r>
        <w:rPr>
          <w:b/>
          <w:bCs/>
          <w:sz w:val="20"/>
          <w:szCs w:val="20"/>
        </w:rPr>
        <w:t xml:space="preserve">Sign-offs: </w:t>
      </w:r>
      <w:r>
        <w:rPr>
          <w:color w:val="6B6B6B"/>
          <w:sz w:val="20"/>
          <w:szCs w:val="20"/>
        </w:rPr>
        <w:t xml:space="preserve">Model Owner ______    AI Governance Lead (SEV-1/2) ______</w:t>
      </w:r>
    </w:p>
    <w:p>
      <w:r>
        <w:br w:type="page"/>
      </w:r>
    </w:p>
    <w:p>
      <w:pPr>
        <w:pStyle w:val="Heading1"/>
        <w:spacing w:after="160" w:before="340"/>
      </w:pPr>
      <w:r>
        <w:t xml:space="preserve">Appendix C — Post-Incident Review Template</w:t>
      </w:r>
    </w:p>
    <w:p>
      <w:pPr>
        <w:spacing w:after="90"/>
      </w:pPr>
      <w:r>
        <w:rPr>
          <w:b/>
          <w:bCs/>
          <w:sz w:val="20"/>
          <w:szCs w:val="20"/>
        </w:rPr>
        <w:t xml:space="preserve">Incident: </w:t>
      </w:r>
      <w:r>
        <w:rPr>
          <w:color w:val="6B6B6B"/>
          <w:sz w:val="20"/>
          <w:szCs w:val="20"/>
        </w:rPr>
        <w:t xml:space="preserve">INC-YYYY-NNN        Date: ________</w:t>
      </w:r>
    </w:p>
    <w:p>
      <w:pPr>
        <w:spacing w:after="90"/>
      </w:pPr>
      <w:r>
        <w:rPr>
          <w:b/>
          <w:bCs/>
          <w:sz w:val="20"/>
          <w:szCs w:val="20"/>
        </w:rPr>
        <w:t xml:space="preserve">Facilitator (IC): </w:t>
      </w:r>
      <w:r>
        <w:rPr>
          <w:color w:val="6B6B6B"/>
          <w:sz w:val="20"/>
          <w:szCs w:val="20"/>
        </w:rPr>
        <w:t xml:space="preserve">___________________    Accountable (AI Governance Lead): ___________________</w:t>
      </w:r>
    </w:p>
    <w:p>
      <w:pPr>
        <w:spacing w:after="90"/>
      </w:pPr>
      <w:r>
        <w:rPr>
          <w:b/>
          <w:bCs/>
          <w:sz w:val="20"/>
          <w:szCs w:val="20"/>
        </w:rPr>
        <w:t xml:space="preserve">Attendees (roles): </w:t>
      </w:r>
      <w:r>
        <w:rPr>
          <w:color w:val="6B6B6B"/>
          <w:sz w:val="20"/>
          <w:szCs w:val="20"/>
        </w:rPr>
        <w:t xml:space="preserve">________________________________________</w:t>
      </w:r>
    </w:p>
    <w:p>
      <w:pPr>
        <w:pBdr>
          <w:left w:val="single" w:color="2E5496" w:sz="12" w:space="8"/>
        </w:pBdr>
        <w:spacing w:after="160"/>
        <w:ind w:left="240"/>
      </w:pPr>
      <w:r>
        <w:rPr>
          <w:i/>
          <w:iCs/>
          <w:color w:val="6B6B6B"/>
          <w:sz w:val="20"/>
          <w:szCs w:val="20"/>
        </w:rPr>
        <w:t xml:space="preserve">Ground rule acknowledged: blameless — systems and process, not individuals.</w:t>
      </w:r>
    </w:p>
    <w:p>
      <w:pPr>
        <w:pStyle w:val="Heading2"/>
        <w:spacing w:after="120" w:before="260"/>
      </w:pPr>
      <w:r>
        <w:t xml:space="preserve">C.1 Timeline vs. SLA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1264"/>
        <w:gridCol w:w="1264"/>
        <w:gridCol w:w="3971"/>
      </w:tblGrid>
      <w:tr>
        <w:trPr>
          <w:tblHeader/>
        </w:trPr>
        <w:tc>
          <w:tcPr>
            <w:tcW w:type="dxa" w:w="2527"/>
            <w:shd w:fill="1F3864" w:color="auto" w:val="clear"/>
            <w:tcMar>
              <w:top w:type="dxa" w:w="60"/>
              <w:left w:type="dxa" w:w="80"/>
              <w:bottom w:type="dxa" w:w="60"/>
              <w:right w:type="dxa" w:w="80"/>
            </w:tcMar>
            <w:vAlign w:val="center"/>
          </w:tcPr>
          <w:p>
            <w:pPr>
              <w:spacing w:after="20" w:line="240"/>
            </w:pPr>
            <w:r>
              <w:rPr>
                <w:b/>
                <w:bCs/>
                <w:color w:val="FFFFFF"/>
                <w:sz w:val="18"/>
                <w:szCs w:val="18"/>
              </w:rPr>
              <w:t xml:space="preserve">Phase</w:t>
            </w:r>
          </w:p>
        </w:tc>
        <w:tc>
          <w:tcPr>
            <w:tcW w:type="dxa" w:w="1264"/>
            <w:shd w:fill="1F3864" w:color="auto" w:val="clear"/>
            <w:tcMar>
              <w:top w:type="dxa" w:w="60"/>
              <w:left w:type="dxa" w:w="80"/>
              <w:bottom w:type="dxa" w:w="60"/>
              <w:right w:type="dxa" w:w="80"/>
            </w:tcMar>
            <w:vAlign w:val="center"/>
          </w:tcPr>
          <w:p>
            <w:pPr>
              <w:spacing w:after="20" w:line="240"/>
            </w:pPr>
            <w:r>
              <w:rPr>
                <w:b/>
                <w:bCs/>
                <w:color w:val="FFFFFF"/>
                <w:sz w:val="18"/>
                <w:szCs w:val="18"/>
              </w:rPr>
              <w:t xml:space="preserve">SLA</w:t>
            </w:r>
          </w:p>
        </w:tc>
        <w:tc>
          <w:tcPr>
            <w:tcW w:type="dxa" w:w="1264"/>
            <w:shd w:fill="1F3864" w:color="auto" w:val="clear"/>
            <w:tcMar>
              <w:top w:type="dxa" w:w="60"/>
              <w:left w:type="dxa" w:w="80"/>
              <w:bottom w:type="dxa" w:w="60"/>
              <w:right w:type="dxa" w:w="80"/>
            </w:tcMar>
            <w:vAlign w:val="center"/>
          </w:tcPr>
          <w:p>
            <w:pPr>
              <w:spacing w:after="20" w:line="240"/>
            </w:pPr>
            <w:r>
              <w:rPr>
                <w:b/>
                <w:bCs/>
                <w:color w:val="FFFFFF"/>
                <w:sz w:val="18"/>
                <w:szCs w:val="18"/>
              </w:rPr>
              <w:t xml:space="preserve">Actual</w:t>
            </w:r>
          </w:p>
        </w:tc>
        <w:tc>
          <w:tcPr>
            <w:tcW w:type="dxa" w:w="3971"/>
            <w:shd w:fill="1F3864" w:color="auto" w:val="clear"/>
            <w:tcMar>
              <w:top w:type="dxa" w:w="60"/>
              <w:left w:type="dxa" w:w="80"/>
              <w:bottom w:type="dxa" w:w="60"/>
              <w:right w:type="dxa" w:w="80"/>
            </w:tcMar>
            <w:vAlign w:val="center"/>
          </w:tcPr>
          <w:p>
            <w:pPr>
              <w:spacing w:after="20" w:line="240"/>
            </w:pPr>
            <w:r>
              <w:rPr>
                <w:b/>
                <w:bCs/>
                <w:color w:val="FFFFFF"/>
                <w:sz w:val="18"/>
                <w:szCs w:val="18"/>
              </w:rPr>
              <w:t xml:space="preserve">Gap analysis</w:t>
            </w:r>
          </w:p>
        </w:tc>
      </w:tr>
      <w:tr>
        <w:tc>
          <w:tcPr>
            <w:tcW w:type="dxa" w:w="2527"/>
            <w:tcMar>
              <w:top w:type="dxa" w:w="50"/>
              <w:left w:type="dxa" w:w="80"/>
              <w:bottom w:type="dxa" w:w="50"/>
              <w:right w:type="dxa" w:w="80"/>
            </w:tcMar>
          </w:tcPr>
          <w:p>
            <w:pPr>
              <w:spacing w:after="20" w:line="240"/>
            </w:pPr>
            <w:r>
              <w:rPr>
                <w:sz w:val="18"/>
                <w:szCs w:val="18"/>
              </w:rPr>
              <w:t xml:space="preserve">Detection lag</w:t>
            </w:r>
          </w:p>
        </w:tc>
        <w:tc>
          <w:tcPr>
            <w:tcW w:type="dxa" w:w="1264"/>
            <w:tcMar>
              <w:top w:type="dxa" w:w="50"/>
              <w:left w:type="dxa" w:w="80"/>
              <w:bottom w:type="dxa" w:w="50"/>
              <w:right w:type="dxa" w:w="80"/>
            </w:tcMar>
          </w:tcPr>
          <w:p>
            <w:pPr>
              <w:spacing w:after="20" w:line="240"/>
            </w:pPr>
          </w:p>
        </w:tc>
        <w:tc>
          <w:tcPr>
            <w:tcW w:type="dxa" w:w="1264"/>
            <w:tcMar>
              <w:top w:type="dxa" w:w="50"/>
              <w:left w:type="dxa" w:w="80"/>
              <w:bottom w:type="dxa" w:w="50"/>
              <w:right w:type="dxa" w:w="80"/>
            </w:tcMar>
          </w:tcPr>
          <w:p>
            <w:pPr>
              <w:spacing w:after="20" w:line="240"/>
            </w:pPr>
          </w:p>
        </w:tc>
        <w:tc>
          <w:tcPr>
            <w:tcW w:type="dxa" w:w="3971"/>
            <w:tcMar>
              <w:top w:type="dxa" w:w="50"/>
              <w:left w:type="dxa" w:w="80"/>
              <w:bottom w:type="dxa" w:w="50"/>
              <w:right w:type="dxa" w:w="80"/>
            </w:tcMar>
          </w:tcPr>
          <w:p>
            <w:pPr>
              <w:spacing w:after="20" w:line="240"/>
            </w:pPr>
          </w:p>
        </w:tc>
      </w:tr>
      <w:tr>
        <w:tc>
          <w:tcPr>
            <w:tcW w:type="dxa" w:w="2527"/>
            <w:shd w:fill="F2F6FB" w:color="auto" w:val="clear"/>
            <w:tcMar>
              <w:top w:type="dxa" w:w="50"/>
              <w:left w:type="dxa" w:w="80"/>
              <w:bottom w:type="dxa" w:w="50"/>
              <w:right w:type="dxa" w:w="80"/>
            </w:tcMar>
          </w:tcPr>
          <w:p>
            <w:pPr>
              <w:spacing w:after="20" w:line="240"/>
            </w:pPr>
            <w:r>
              <w:rPr>
                <w:sz w:val="18"/>
                <w:szCs w:val="18"/>
              </w:rPr>
              <w:t xml:space="preserve">Triage &amp; classification</w:t>
            </w:r>
          </w:p>
        </w:tc>
        <w:tc>
          <w:tcPr>
            <w:tcW w:type="dxa" w:w="1264"/>
            <w:shd w:fill="F2F6FB" w:color="auto" w:val="clear"/>
            <w:tcMar>
              <w:top w:type="dxa" w:w="50"/>
              <w:left w:type="dxa" w:w="80"/>
              <w:bottom w:type="dxa" w:w="50"/>
              <w:right w:type="dxa" w:w="80"/>
            </w:tcMar>
          </w:tcPr>
          <w:p>
            <w:pPr>
              <w:spacing w:after="20" w:line="240"/>
            </w:pPr>
          </w:p>
        </w:tc>
        <w:tc>
          <w:tcPr>
            <w:tcW w:type="dxa" w:w="1264"/>
            <w:shd w:fill="F2F6FB" w:color="auto" w:val="clear"/>
            <w:tcMar>
              <w:top w:type="dxa" w:w="50"/>
              <w:left w:type="dxa" w:w="80"/>
              <w:bottom w:type="dxa" w:w="50"/>
              <w:right w:type="dxa" w:w="80"/>
            </w:tcMar>
          </w:tcPr>
          <w:p>
            <w:pPr>
              <w:spacing w:after="20" w:line="240"/>
            </w:pPr>
          </w:p>
        </w:tc>
        <w:tc>
          <w:tcPr>
            <w:tcW w:type="dxa" w:w="3971"/>
            <w:shd w:fill="F2F6FB" w:color="auto" w:val="clear"/>
            <w:tcMar>
              <w:top w:type="dxa" w:w="50"/>
              <w:left w:type="dxa" w:w="80"/>
              <w:bottom w:type="dxa" w:w="50"/>
              <w:right w:type="dxa" w:w="80"/>
            </w:tcMar>
          </w:tcPr>
          <w:p>
            <w:pPr>
              <w:spacing w:after="20" w:line="240"/>
            </w:pPr>
          </w:p>
        </w:tc>
      </w:tr>
      <w:tr>
        <w:tc>
          <w:tcPr>
            <w:tcW w:type="dxa" w:w="2527"/>
            <w:tcMar>
              <w:top w:type="dxa" w:w="50"/>
              <w:left w:type="dxa" w:w="80"/>
              <w:bottom w:type="dxa" w:w="50"/>
              <w:right w:type="dxa" w:w="80"/>
            </w:tcMar>
          </w:tcPr>
          <w:p>
            <w:pPr>
              <w:spacing w:after="20" w:line="240"/>
            </w:pPr>
            <w:r>
              <w:rPr>
                <w:sz w:val="18"/>
                <w:szCs w:val="18"/>
              </w:rPr>
              <w:t xml:space="preserve">Containment</w:t>
            </w:r>
          </w:p>
        </w:tc>
        <w:tc>
          <w:tcPr>
            <w:tcW w:type="dxa" w:w="1264"/>
            <w:tcMar>
              <w:top w:type="dxa" w:w="50"/>
              <w:left w:type="dxa" w:w="80"/>
              <w:bottom w:type="dxa" w:w="50"/>
              <w:right w:type="dxa" w:w="80"/>
            </w:tcMar>
          </w:tcPr>
          <w:p>
            <w:pPr>
              <w:spacing w:after="20" w:line="240"/>
            </w:pPr>
          </w:p>
        </w:tc>
        <w:tc>
          <w:tcPr>
            <w:tcW w:type="dxa" w:w="1264"/>
            <w:tcMar>
              <w:top w:type="dxa" w:w="50"/>
              <w:left w:type="dxa" w:w="80"/>
              <w:bottom w:type="dxa" w:w="50"/>
              <w:right w:type="dxa" w:w="80"/>
            </w:tcMar>
          </w:tcPr>
          <w:p>
            <w:pPr>
              <w:spacing w:after="20" w:line="240"/>
            </w:pPr>
          </w:p>
        </w:tc>
        <w:tc>
          <w:tcPr>
            <w:tcW w:type="dxa" w:w="3971"/>
            <w:tcMar>
              <w:top w:type="dxa" w:w="50"/>
              <w:left w:type="dxa" w:w="80"/>
              <w:bottom w:type="dxa" w:w="50"/>
              <w:right w:type="dxa" w:w="80"/>
            </w:tcMar>
          </w:tcPr>
          <w:p>
            <w:pPr>
              <w:spacing w:after="20" w:line="240"/>
            </w:pPr>
          </w:p>
        </w:tc>
      </w:tr>
      <w:tr>
        <w:tc>
          <w:tcPr>
            <w:tcW w:type="dxa" w:w="2527"/>
            <w:shd w:fill="F2F6FB" w:color="auto" w:val="clear"/>
            <w:tcMar>
              <w:top w:type="dxa" w:w="50"/>
              <w:left w:type="dxa" w:w="80"/>
              <w:bottom w:type="dxa" w:w="50"/>
              <w:right w:type="dxa" w:w="80"/>
            </w:tcMar>
          </w:tcPr>
          <w:p>
            <w:pPr>
              <w:spacing w:after="20" w:line="240"/>
            </w:pPr>
            <w:r>
              <w:rPr>
                <w:sz w:val="18"/>
                <w:szCs w:val="18"/>
              </w:rPr>
              <w:t xml:space="preserve">Resolution</w:t>
            </w:r>
          </w:p>
        </w:tc>
        <w:tc>
          <w:tcPr>
            <w:tcW w:type="dxa" w:w="1264"/>
            <w:shd w:fill="F2F6FB" w:color="auto" w:val="clear"/>
            <w:tcMar>
              <w:top w:type="dxa" w:w="50"/>
              <w:left w:type="dxa" w:w="80"/>
              <w:bottom w:type="dxa" w:w="50"/>
              <w:right w:type="dxa" w:w="80"/>
            </w:tcMar>
          </w:tcPr>
          <w:p>
            <w:pPr>
              <w:spacing w:after="20" w:line="240"/>
            </w:pPr>
          </w:p>
        </w:tc>
        <w:tc>
          <w:tcPr>
            <w:tcW w:type="dxa" w:w="1264"/>
            <w:shd w:fill="F2F6FB" w:color="auto" w:val="clear"/>
            <w:tcMar>
              <w:top w:type="dxa" w:w="50"/>
              <w:left w:type="dxa" w:w="80"/>
              <w:bottom w:type="dxa" w:w="50"/>
              <w:right w:type="dxa" w:w="80"/>
            </w:tcMar>
          </w:tcPr>
          <w:p>
            <w:pPr>
              <w:spacing w:after="20" w:line="240"/>
            </w:pPr>
          </w:p>
        </w:tc>
        <w:tc>
          <w:tcPr>
            <w:tcW w:type="dxa" w:w="3971"/>
            <w:shd w:fill="F2F6FB" w:color="auto" w:val="clear"/>
            <w:tcMar>
              <w:top w:type="dxa" w:w="50"/>
              <w:left w:type="dxa" w:w="80"/>
              <w:bottom w:type="dxa" w:w="50"/>
              <w:right w:type="dxa" w:w="80"/>
            </w:tcMar>
          </w:tcPr>
          <w:p>
            <w:pPr>
              <w:spacing w:after="20" w:line="240"/>
            </w:pPr>
          </w:p>
        </w:tc>
      </w:tr>
    </w:tbl>
    <w:p>
      <w:pPr>
        <w:spacing w:after="120"/>
      </w:pPr>
    </w:p>
    <w:p>
      <w:pPr>
        <w:pStyle w:val="Heading2"/>
        <w:spacing w:after="120" w:before="260"/>
      </w:pPr>
      <w:r>
        <w:t xml:space="preserve">C.2 What went well (and what was luck)</w:t>
      </w:r>
    </w:p>
    <w:p>
      <w:pPr>
        <w:spacing w:after="90"/>
      </w:pPr>
      <w:r>
        <w:rPr>
          <w:b/>
          <w:bCs/>
          <w:sz w:val="20"/>
          <w:szCs w:val="20"/>
        </w:rPr>
        <w:t xml:space="preserve">: </w:t>
      </w:r>
      <w:r>
        <w:rPr>
          <w:color w:val="6B6B6B"/>
          <w:sz w:val="20"/>
          <w:szCs w:val="20"/>
        </w:rPr>
        <w:t xml:space="preserve">________________________________________</w:t>
      </w:r>
    </w:p>
    <w:p>
      <w:pPr>
        <w:pStyle w:val="Heading2"/>
        <w:spacing w:after="120" w:before="260"/>
      </w:pPr>
      <w:r>
        <w:t xml:space="preserve">C.3 What fell short (process / tooling / judgment)</w:t>
      </w:r>
    </w:p>
    <w:p>
      <w:pPr>
        <w:spacing w:after="90"/>
      </w:pPr>
      <w:r>
        <w:rPr>
          <w:b/>
          <w:bCs/>
          <w:sz w:val="20"/>
          <w:szCs w:val="20"/>
        </w:rPr>
        <w:t xml:space="preserve">: </w:t>
      </w:r>
      <w:r>
        <w:rPr>
          <w:color w:val="6B6B6B"/>
          <w:sz w:val="20"/>
          <w:szCs w:val="20"/>
        </w:rPr>
        <w:t xml:space="preserve">________________________________________</w:t>
      </w:r>
    </w:p>
    <w:p>
      <w:pPr>
        <w:pStyle w:val="Heading2"/>
        <w:spacing w:after="120" w:before="260"/>
      </w:pPr>
      <w:r>
        <w:t xml:space="preserve">C.4 Classification retrospective</w:t>
      </w:r>
    </w:p>
    <w:p>
      <w:pPr>
        <w:spacing w:after="90"/>
      </w:pPr>
      <w:r>
        <w:rPr>
          <w:b/>
          <w:bCs/>
          <w:sz w:val="20"/>
          <w:szCs w:val="20"/>
        </w:rPr>
        <w:t xml:space="preserve">Was initial category/severity right? Re-grades and why: </w:t>
      </w:r>
      <w:r>
        <w:rPr>
          <w:color w:val="6B6B6B"/>
          <w:sz w:val="20"/>
          <w:szCs w:val="20"/>
        </w:rPr>
        <w:t xml:space="preserve">________________________________________</w:t>
      </w:r>
    </w:p>
    <w:p>
      <w:pPr>
        <w:spacing w:after="90"/>
      </w:pPr>
      <w:r>
        <w:rPr>
          <w:b/>
          <w:bCs/>
          <w:sz w:val="20"/>
          <w:szCs w:val="20"/>
        </w:rPr>
        <w:t xml:space="preserve">Does the taxonomy or this playbook need amendment? Proposed change: </w:t>
      </w:r>
      <w:r>
        <w:rPr>
          <w:color w:val="6B6B6B"/>
          <w:sz w:val="20"/>
          <w:szCs w:val="20"/>
        </w:rPr>
        <w:t xml:space="preserve">________________________________________</w:t>
      </w:r>
    </w:p>
    <w:p>
      <w:pPr>
        <w:pStyle w:val="Heading2"/>
        <w:spacing w:after="120" w:before="260"/>
      </w:pPr>
      <w:r>
        <w:t xml:space="preserve">C.5 Feedback-loop disposition (every row requires an entry or explicit N/A)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47"/>
        <w:gridCol w:w="3430"/>
        <w:gridCol w:w="1625"/>
        <w:gridCol w:w="1625"/>
      </w:tblGrid>
      <w:tr>
        <w:trPr>
          <w:tblHeader/>
        </w:trPr>
        <w:tc>
          <w:tcPr>
            <w:tcW w:type="dxa" w:w="2347"/>
            <w:shd w:fill="1F3864" w:color="auto" w:val="clear"/>
            <w:tcMar>
              <w:top w:type="dxa" w:w="60"/>
              <w:left w:type="dxa" w:w="80"/>
              <w:bottom w:type="dxa" w:w="60"/>
              <w:right w:type="dxa" w:w="80"/>
            </w:tcMar>
            <w:vAlign w:val="center"/>
          </w:tcPr>
          <w:p>
            <w:pPr>
              <w:spacing w:after="20" w:line="240"/>
            </w:pPr>
            <w:r>
              <w:rPr>
                <w:b/>
                <w:bCs/>
                <w:color w:val="FFFFFF"/>
                <w:sz w:val="18"/>
                <w:szCs w:val="18"/>
              </w:rPr>
              <w:t xml:space="preserve">Loop</w:t>
            </w:r>
          </w:p>
        </w:tc>
        <w:tc>
          <w:tcPr>
            <w:tcW w:type="dxa" w:w="3430"/>
            <w:shd w:fill="1F3864" w:color="auto" w:val="clear"/>
            <w:tcMar>
              <w:top w:type="dxa" w:w="60"/>
              <w:left w:type="dxa" w:w="80"/>
              <w:bottom w:type="dxa" w:w="60"/>
              <w:right w:type="dxa" w:w="80"/>
            </w:tcMar>
            <w:vAlign w:val="center"/>
          </w:tcPr>
          <w:p>
            <w:pPr>
              <w:spacing w:after="20" w:line="240"/>
            </w:pPr>
            <w:r>
              <w:rPr>
                <w:b/>
                <w:bCs/>
                <w:color w:val="FFFFFF"/>
                <w:sz w:val="18"/>
                <w:szCs w:val="18"/>
              </w:rPr>
              <w:t xml:space="preserve">Action</w:t>
            </w:r>
          </w:p>
        </w:tc>
        <w:tc>
          <w:tcPr>
            <w:tcW w:type="dxa" w:w="1625"/>
            <w:shd w:fill="1F3864" w:color="auto" w:val="clear"/>
            <w:tcMar>
              <w:top w:type="dxa" w:w="60"/>
              <w:left w:type="dxa" w:w="80"/>
              <w:bottom w:type="dxa" w:w="60"/>
              <w:right w:type="dxa" w:w="80"/>
            </w:tcMar>
            <w:vAlign w:val="center"/>
          </w:tcPr>
          <w:p>
            <w:pPr>
              <w:spacing w:after="20" w:line="240"/>
            </w:pPr>
            <w:r>
              <w:rPr>
                <w:b/>
                <w:bCs/>
                <w:color w:val="FFFFFF"/>
                <w:sz w:val="18"/>
                <w:szCs w:val="18"/>
              </w:rPr>
              <w:t xml:space="preserve">Owner</w:t>
            </w:r>
          </w:p>
        </w:tc>
        <w:tc>
          <w:tcPr>
            <w:tcW w:type="dxa" w:w="1625"/>
            <w:shd w:fill="1F3864" w:color="auto" w:val="clear"/>
            <w:tcMar>
              <w:top w:type="dxa" w:w="60"/>
              <w:left w:type="dxa" w:w="80"/>
              <w:bottom w:type="dxa" w:w="60"/>
              <w:right w:type="dxa" w:w="80"/>
            </w:tcMar>
            <w:vAlign w:val="center"/>
          </w:tcPr>
          <w:p>
            <w:pPr>
              <w:spacing w:after="20" w:line="240"/>
            </w:pPr>
            <w:r>
              <w:rPr>
                <w:b/>
                <w:bCs/>
                <w:color w:val="FFFFFF"/>
                <w:sz w:val="18"/>
                <w:szCs w:val="18"/>
              </w:rPr>
              <w:t xml:space="preserve">Due</w:t>
            </w:r>
          </w:p>
        </w:tc>
      </w:tr>
      <w:tr>
        <w:tc>
          <w:tcPr>
            <w:tcW w:type="dxa" w:w="2347"/>
            <w:tcMar>
              <w:top w:type="dxa" w:w="50"/>
              <w:left w:type="dxa" w:w="80"/>
              <w:bottom w:type="dxa" w:w="50"/>
              <w:right w:type="dxa" w:w="80"/>
            </w:tcMar>
          </w:tcPr>
          <w:p>
            <w:pPr>
              <w:spacing w:after="20" w:line="240"/>
            </w:pPr>
            <w:r>
              <w:rPr>
                <w:sz w:val="18"/>
                <w:szCs w:val="18"/>
              </w:rPr>
              <w:t xml:space="preserve">Risk register</w:t>
            </w:r>
          </w:p>
        </w:tc>
        <w:tc>
          <w:tcPr>
            <w:tcW w:type="dxa" w:w="3430"/>
            <w:tcMar>
              <w:top w:type="dxa" w:w="50"/>
              <w:left w:type="dxa" w:w="80"/>
              <w:bottom w:type="dxa" w:w="50"/>
              <w:right w:type="dxa" w:w="80"/>
            </w:tcMar>
          </w:tcPr>
          <w:p>
            <w:pPr>
              <w:spacing w:after="20" w:line="240"/>
            </w:pPr>
          </w:p>
        </w:tc>
        <w:tc>
          <w:tcPr>
            <w:tcW w:type="dxa" w:w="1625"/>
            <w:tcMar>
              <w:top w:type="dxa" w:w="50"/>
              <w:left w:type="dxa" w:w="80"/>
              <w:bottom w:type="dxa" w:w="50"/>
              <w:right w:type="dxa" w:w="80"/>
            </w:tcMar>
          </w:tcPr>
          <w:p>
            <w:pPr>
              <w:spacing w:after="20" w:line="240"/>
            </w:pPr>
          </w:p>
        </w:tc>
        <w:tc>
          <w:tcPr>
            <w:tcW w:type="dxa" w:w="1625"/>
            <w:tcMar>
              <w:top w:type="dxa" w:w="50"/>
              <w:left w:type="dxa" w:w="80"/>
              <w:bottom w:type="dxa" w:w="50"/>
              <w:right w:type="dxa" w:w="80"/>
            </w:tcMar>
          </w:tcPr>
          <w:p>
            <w:pPr>
              <w:spacing w:after="20" w:line="240"/>
            </w:pPr>
          </w:p>
        </w:tc>
      </w:tr>
      <w:tr>
        <w:tc>
          <w:tcPr>
            <w:tcW w:type="dxa" w:w="2347"/>
            <w:shd w:fill="F2F6FB" w:color="auto" w:val="clear"/>
            <w:tcMar>
              <w:top w:type="dxa" w:w="50"/>
              <w:left w:type="dxa" w:w="80"/>
              <w:bottom w:type="dxa" w:w="50"/>
              <w:right w:type="dxa" w:w="80"/>
            </w:tcMar>
          </w:tcPr>
          <w:p>
            <w:pPr>
              <w:spacing w:after="20" w:line="240"/>
            </w:pPr>
            <w:r>
              <w:rPr>
                <w:sz w:val="18"/>
                <w:szCs w:val="18"/>
              </w:rPr>
              <w:t xml:space="preserve">Evaluation suites</w:t>
            </w:r>
          </w:p>
        </w:tc>
        <w:tc>
          <w:tcPr>
            <w:tcW w:type="dxa" w:w="3430"/>
            <w:shd w:fill="F2F6FB" w:color="auto" w:val="clear"/>
            <w:tcMar>
              <w:top w:type="dxa" w:w="50"/>
              <w:left w:type="dxa" w:w="80"/>
              <w:bottom w:type="dxa" w:w="50"/>
              <w:right w:type="dxa" w:w="80"/>
            </w:tcMar>
          </w:tcPr>
          <w:p>
            <w:pPr>
              <w:spacing w:after="20" w:line="240"/>
            </w:pPr>
          </w:p>
        </w:tc>
        <w:tc>
          <w:tcPr>
            <w:tcW w:type="dxa" w:w="1625"/>
            <w:shd w:fill="F2F6FB" w:color="auto" w:val="clear"/>
            <w:tcMar>
              <w:top w:type="dxa" w:w="50"/>
              <w:left w:type="dxa" w:w="80"/>
              <w:bottom w:type="dxa" w:w="50"/>
              <w:right w:type="dxa" w:w="80"/>
            </w:tcMar>
          </w:tcPr>
          <w:p>
            <w:pPr>
              <w:spacing w:after="20" w:line="240"/>
            </w:pPr>
          </w:p>
        </w:tc>
        <w:tc>
          <w:tcPr>
            <w:tcW w:type="dxa" w:w="1625"/>
            <w:shd w:fill="F2F6FB" w:color="auto" w:val="clear"/>
            <w:tcMar>
              <w:top w:type="dxa" w:w="50"/>
              <w:left w:type="dxa" w:w="80"/>
              <w:bottom w:type="dxa" w:w="50"/>
              <w:right w:type="dxa" w:w="80"/>
            </w:tcMar>
          </w:tcPr>
          <w:p>
            <w:pPr>
              <w:spacing w:after="20" w:line="240"/>
            </w:pPr>
          </w:p>
        </w:tc>
      </w:tr>
      <w:tr>
        <w:tc>
          <w:tcPr>
            <w:tcW w:type="dxa" w:w="2347"/>
            <w:tcMar>
              <w:top w:type="dxa" w:w="50"/>
              <w:left w:type="dxa" w:w="80"/>
              <w:bottom w:type="dxa" w:w="50"/>
              <w:right w:type="dxa" w:w="80"/>
            </w:tcMar>
          </w:tcPr>
          <w:p>
            <w:pPr>
              <w:spacing w:after="20" w:line="240"/>
            </w:pPr>
            <w:r>
              <w:rPr>
                <w:sz w:val="18"/>
                <w:szCs w:val="18"/>
              </w:rPr>
              <w:t xml:space="preserve">Monitoring signals</w:t>
            </w:r>
          </w:p>
        </w:tc>
        <w:tc>
          <w:tcPr>
            <w:tcW w:type="dxa" w:w="3430"/>
            <w:tcMar>
              <w:top w:type="dxa" w:w="50"/>
              <w:left w:type="dxa" w:w="80"/>
              <w:bottom w:type="dxa" w:w="50"/>
              <w:right w:type="dxa" w:w="80"/>
            </w:tcMar>
          </w:tcPr>
          <w:p>
            <w:pPr>
              <w:spacing w:after="20" w:line="240"/>
            </w:pPr>
          </w:p>
        </w:tc>
        <w:tc>
          <w:tcPr>
            <w:tcW w:type="dxa" w:w="1625"/>
            <w:tcMar>
              <w:top w:type="dxa" w:w="50"/>
              <w:left w:type="dxa" w:w="80"/>
              <w:bottom w:type="dxa" w:w="50"/>
              <w:right w:type="dxa" w:w="80"/>
            </w:tcMar>
          </w:tcPr>
          <w:p>
            <w:pPr>
              <w:spacing w:after="20" w:line="240"/>
            </w:pPr>
          </w:p>
        </w:tc>
        <w:tc>
          <w:tcPr>
            <w:tcW w:type="dxa" w:w="1625"/>
            <w:tcMar>
              <w:top w:type="dxa" w:w="50"/>
              <w:left w:type="dxa" w:w="80"/>
              <w:bottom w:type="dxa" w:w="50"/>
              <w:right w:type="dxa" w:w="80"/>
            </w:tcMar>
          </w:tcPr>
          <w:p>
            <w:pPr>
              <w:spacing w:after="20" w:line="240"/>
            </w:pPr>
          </w:p>
        </w:tc>
      </w:tr>
      <w:tr>
        <w:tc>
          <w:tcPr>
            <w:tcW w:type="dxa" w:w="2347"/>
            <w:shd w:fill="F2F6FB" w:color="auto" w:val="clear"/>
            <w:tcMar>
              <w:top w:type="dxa" w:w="50"/>
              <w:left w:type="dxa" w:w="80"/>
              <w:bottom w:type="dxa" w:w="50"/>
              <w:right w:type="dxa" w:w="80"/>
            </w:tcMar>
          </w:tcPr>
          <w:p>
            <w:pPr>
              <w:spacing w:after="20" w:line="240"/>
            </w:pPr>
            <w:r>
              <w:rPr>
                <w:sz w:val="18"/>
                <w:szCs w:val="18"/>
              </w:rPr>
              <w:t xml:space="preserve">Model documentation</w:t>
            </w:r>
          </w:p>
        </w:tc>
        <w:tc>
          <w:tcPr>
            <w:tcW w:type="dxa" w:w="3430"/>
            <w:shd w:fill="F2F6FB" w:color="auto" w:val="clear"/>
            <w:tcMar>
              <w:top w:type="dxa" w:w="50"/>
              <w:left w:type="dxa" w:w="80"/>
              <w:bottom w:type="dxa" w:w="50"/>
              <w:right w:type="dxa" w:w="80"/>
            </w:tcMar>
          </w:tcPr>
          <w:p>
            <w:pPr>
              <w:spacing w:after="20" w:line="240"/>
            </w:pPr>
          </w:p>
        </w:tc>
        <w:tc>
          <w:tcPr>
            <w:tcW w:type="dxa" w:w="1625"/>
            <w:shd w:fill="F2F6FB" w:color="auto" w:val="clear"/>
            <w:tcMar>
              <w:top w:type="dxa" w:w="50"/>
              <w:left w:type="dxa" w:w="80"/>
              <w:bottom w:type="dxa" w:w="50"/>
              <w:right w:type="dxa" w:w="80"/>
            </w:tcMar>
          </w:tcPr>
          <w:p>
            <w:pPr>
              <w:spacing w:after="20" w:line="240"/>
            </w:pPr>
          </w:p>
        </w:tc>
        <w:tc>
          <w:tcPr>
            <w:tcW w:type="dxa" w:w="1625"/>
            <w:shd w:fill="F2F6FB" w:color="auto" w:val="clear"/>
            <w:tcMar>
              <w:top w:type="dxa" w:w="50"/>
              <w:left w:type="dxa" w:w="80"/>
              <w:bottom w:type="dxa" w:w="50"/>
              <w:right w:type="dxa" w:w="80"/>
            </w:tcMar>
          </w:tcPr>
          <w:p>
            <w:pPr>
              <w:spacing w:after="20" w:line="240"/>
            </w:pPr>
          </w:p>
        </w:tc>
      </w:tr>
      <w:tr>
        <w:tc>
          <w:tcPr>
            <w:tcW w:type="dxa" w:w="2347"/>
            <w:tcMar>
              <w:top w:type="dxa" w:w="50"/>
              <w:left w:type="dxa" w:w="80"/>
              <w:bottom w:type="dxa" w:w="50"/>
              <w:right w:type="dxa" w:w="80"/>
            </w:tcMar>
          </w:tcPr>
          <w:p>
            <w:pPr>
              <w:spacing w:after="20" w:line="240"/>
            </w:pPr>
            <w:r>
              <w:rPr>
                <w:sz w:val="18"/>
                <w:szCs w:val="18"/>
              </w:rPr>
              <w:t xml:space="preserve">Policy &amp; SOP</w:t>
            </w:r>
          </w:p>
        </w:tc>
        <w:tc>
          <w:tcPr>
            <w:tcW w:type="dxa" w:w="3430"/>
            <w:tcMar>
              <w:top w:type="dxa" w:w="50"/>
              <w:left w:type="dxa" w:w="80"/>
              <w:bottom w:type="dxa" w:w="50"/>
              <w:right w:type="dxa" w:w="80"/>
            </w:tcMar>
          </w:tcPr>
          <w:p>
            <w:pPr>
              <w:spacing w:after="20" w:line="240"/>
            </w:pPr>
          </w:p>
        </w:tc>
        <w:tc>
          <w:tcPr>
            <w:tcW w:type="dxa" w:w="1625"/>
            <w:tcMar>
              <w:top w:type="dxa" w:w="50"/>
              <w:left w:type="dxa" w:w="80"/>
              <w:bottom w:type="dxa" w:w="50"/>
              <w:right w:type="dxa" w:w="80"/>
            </w:tcMar>
          </w:tcPr>
          <w:p>
            <w:pPr>
              <w:spacing w:after="20" w:line="240"/>
            </w:pPr>
          </w:p>
        </w:tc>
        <w:tc>
          <w:tcPr>
            <w:tcW w:type="dxa" w:w="1625"/>
            <w:tcMar>
              <w:top w:type="dxa" w:w="50"/>
              <w:left w:type="dxa" w:w="80"/>
              <w:bottom w:type="dxa" w:w="50"/>
              <w:right w:type="dxa" w:w="80"/>
            </w:tcMar>
          </w:tcPr>
          <w:p>
            <w:pPr>
              <w:spacing w:after="20" w:line="240"/>
            </w:pPr>
          </w:p>
        </w:tc>
      </w:tr>
      <w:tr>
        <w:tc>
          <w:tcPr>
            <w:tcW w:type="dxa" w:w="2347"/>
            <w:shd w:fill="F2F6FB" w:color="auto" w:val="clear"/>
            <w:tcMar>
              <w:top w:type="dxa" w:w="50"/>
              <w:left w:type="dxa" w:w="80"/>
              <w:bottom w:type="dxa" w:w="50"/>
              <w:right w:type="dxa" w:w="80"/>
            </w:tcMar>
          </w:tcPr>
          <w:p>
            <w:pPr>
              <w:spacing w:after="20" w:line="240"/>
            </w:pPr>
            <w:r>
              <w:rPr>
                <w:sz w:val="18"/>
                <w:szCs w:val="18"/>
              </w:rPr>
              <w:t xml:space="preserve">Tabletop scenarios</w:t>
            </w:r>
          </w:p>
        </w:tc>
        <w:tc>
          <w:tcPr>
            <w:tcW w:type="dxa" w:w="3430"/>
            <w:shd w:fill="F2F6FB" w:color="auto" w:val="clear"/>
            <w:tcMar>
              <w:top w:type="dxa" w:w="50"/>
              <w:left w:type="dxa" w:w="80"/>
              <w:bottom w:type="dxa" w:w="50"/>
              <w:right w:type="dxa" w:w="80"/>
            </w:tcMar>
          </w:tcPr>
          <w:p>
            <w:pPr>
              <w:spacing w:after="20" w:line="240"/>
            </w:pPr>
          </w:p>
        </w:tc>
        <w:tc>
          <w:tcPr>
            <w:tcW w:type="dxa" w:w="1625"/>
            <w:shd w:fill="F2F6FB" w:color="auto" w:val="clear"/>
            <w:tcMar>
              <w:top w:type="dxa" w:w="50"/>
              <w:left w:type="dxa" w:w="80"/>
              <w:bottom w:type="dxa" w:w="50"/>
              <w:right w:type="dxa" w:w="80"/>
            </w:tcMar>
          </w:tcPr>
          <w:p>
            <w:pPr>
              <w:spacing w:after="20" w:line="240"/>
            </w:pPr>
          </w:p>
        </w:tc>
        <w:tc>
          <w:tcPr>
            <w:tcW w:type="dxa" w:w="1625"/>
            <w:shd w:fill="F2F6FB" w:color="auto" w:val="clear"/>
            <w:tcMar>
              <w:top w:type="dxa" w:w="50"/>
              <w:left w:type="dxa" w:w="80"/>
              <w:bottom w:type="dxa" w:w="50"/>
              <w:right w:type="dxa" w:w="80"/>
            </w:tcMar>
          </w:tcPr>
          <w:p>
            <w:pPr>
              <w:spacing w:after="20" w:line="240"/>
            </w:pPr>
          </w:p>
        </w:tc>
      </w:tr>
    </w:tbl>
    <w:p>
      <w:pPr>
        <w:spacing w:after="120"/>
      </w:pPr>
    </w:p>
    <w:p>
      <w:pPr>
        <w:pStyle w:val="Heading2"/>
        <w:spacing w:after="120" w:before="260"/>
      </w:pPr>
      <w:r>
        <w:t xml:space="preserve">C.6 Action tracking</w:t>
      </w:r>
    </w:p>
    <w:p>
      <w:pPr>
        <w:spacing w:after="90"/>
      </w:pPr>
      <w:r>
        <w:rPr>
          <w:b/>
          <w:bCs/>
          <w:sz w:val="20"/>
          <w:szCs w:val="20"/>
        </w:rPr>
        <w:t xml:space="preserve">Logged to Review Board tracker: </w:t>
      </w:r>
      <w:r>
        <w:rPr>
          <w:color w:val="6B6B6B"/>
          <w:sz w:val="20"/>
          <w:szCs w:val="20"/>
        </w:rPr>
        <w:t xml:space="preserve">[link] — reviewed monthly to closure</w:t>
      </w:r>
    </w:p>
    <w:p>
      <w:r>
        <w:br w:type="page"/>
      </w:r>
    </w:p>
    <w:p>
      <w:pPr>
        <w:pStyle w:val="Heading1"/>
        <w:spacing w:after="160" w:before="340"/>
      </w:pPr>
      <w:r>
        <w:t xml:space="preserve">Appendix D — Severity Quick Reference (on-call card)</w:t>
      </w:r>
    </w:p>
    <w:p>
      <w:pPr>
        <w:pBdr>
          <w:top w:val="single" w:color="CCCCCC" w:sz="4"/>
          <w:left w:val="single" w:color="CCCCCC" w:sz="4"/>
          <w:right w:val="single" w:color="CCCCCC" w:sz="4"/>
        </w:pBdr>
        <w:shd w:fill="F4F4F4" w:color="auto" w:val="clear"/>
        <w:spacing w:after="0" w:line="240"/>
        <w:ind w:left="240" w:right="240"/>
      </w:pPr>
      <w:r>
        <w:rPr>
          <w:rFonts w:ascii="Consolas" w:cs="Consolas" w:eastAsia="Consolas" w:hAnsi="Consolas"/>
          <w:sz w:val="17"/>
          <w:szCs w:val="17"/>
        </w:rPr>
        <w:t xml:space="preserve"> STEP 1 — AI in the causal chain? Unclear = YES.</w:t>
      </w:r>
    </w:p>
    <w:p>
      <w:pPr>
        <w:pBdr>
          <w:left w:val="single" w:color="CCCCCC" w:sz="4"/>
          <w:right w:val="single" w:color="CCCCCC" w:sz="4"/>
        </w:pBdr>
        <w:shd w:fill="F4F4F4" w:color="auto" w:val="clear"/>
        <w:spacing w:after="0" w:line="240"/>
        <w:ind w:left="240" w:right="240"/>
      </w:pPr>
      <w:r>
        <w:rPr>
          <w:rFonts w:ascii="Consolas" w:cs="Consolas" w:eastAsia="Consolas" w:hAnsi="Consolas"/>
          <w:sz w:val="17"/>
          <w:szCs w:val="17"/>
        </w:rPr>
        <w:t xml:space="preserve"> STEP 2 — Category: C1 harmful output · C2 performance · C3 data/privacy</w:t>
      </w:r>
    </w:p>
    <w:p>
      <w:pPr>
        <w:pBdr>
          <w:left w:val="single" w:color="CCCCCC" w:sz="4"/>
          <w:right w:val="single" w:color="CCCCCC" w:sz="4"/>
        </w:pBdr>
        <w:shd w:fill="F4F4F4" w:color="auto" w:val="clear"/>
        <w:spacing w:after="0" w:line="240"/>
        <w:ind w:left="240" w:right="240"/>
      </w:pPr>
      <w:r>
        <w:rPr>
          <w:rFonts w:ascii="Consolas" w:cs="Consolas" w:eastAsia="Consolas" w:hAnsi="Consolas"/>
          <w:sz w:val="17"/>
          <w:szCs w:val="17"/>
        </w:rPr>
        <w:t xml:space="preserve">          C4 security · C5 bias/fairness · C6 misuse · C7 third-party</w:t>
      </w:r>
    </w:p>
    <w:p>
      <w:pPr>
        <w:pBdr>
          <w:left w:val="single" w:color="CCCCCC" w:sz="4"/>
          <w:right w:val="single" w:color="CCCCCC" w:sz="4"/>
        </w:pBdr>
        <w:shd w:fill="F4F4F4" w:color="auto" w:val="clear"/>
        <w:spacing w:after="0" w:line="240"/>
        <w:ind w:left="240" w:right="240"/>
      </w:pPr>
      <w:r>
        <w:rPr>
          <w:rFonts w:ascii="Consolas" w:cs="Consolas" w:eastAsia="Consolas" w:hAnsi="Consolas"/>
          <w:sz w:val="17"/>
          <w:szCs w:val="17"/>
        </w:rPr>
        <w:t xml:space="preserve"> STEP 3 — Severity: harm? scale? legal? reversible? ONGOING?</w:t>
      </w:r>
    </w:p>
    <w:p>
      <w:pPr>
        <w:pBdr>
          <w:left w:val="single" w:color="CCCCCC" w:sz="4"/>
          <w:right w:val="single" w:color="CCCCCC" w:sz="4"/>
        </w:pBdr>
        <w:shd w:fill="F4F4F4" w:color="auto" w:val="clear"/>
        <w:spacing w:after="0" w:line="240"/>
        <w:ind w:left="240" w:right="240"/>
      </w:pPr>
      <w:r>
        <w:rPr>
          <w:rFonts w:ascii="Consolas" w:cs="Consolas" w:eastAsia="Consolas" w:hAnsi="Consolas"/>
          <w:sz w:val="17"/>
          <w:szCs w:val="17"/>
        </w:rPr>
        <w:t xml:space="preserve">          Uncertain between two levels → TAKE THE HIGHER.</w:t>
      </w:r>
    </w:p>
    <w:p>
      <w:pPr>
        <w:pBdr>
          <w:left w:val="single" w:color="CCCCCC" w:sz="4"/>
          <w:right w:val="single" w:color="CCCCCC" w:sz="4"/>
        </w:pBdr>
        <w:shd w:fill="F4F4F4" w:color="auto" w:val="clear"/>
        <w:spacing w:after="0" w:line="240"/>
        <w:ind w:left="240" w:right="240"/>
      </w:pPr>
      <w:r>
        <w:rPr>
          <w:rFonts w:ascii="Consolas" w:cs="Consolas" w:eastAsia="Consolas" w:hAnsi="Consolas"/>
          <w:sz w:val="17"/>
          <w:szCs w:val="17"/>
        </w:rPr>
        <w:t xml:space="preserve">          Still causing harm → SEV-2 minimum.</w:t>
      </w:r>
    </w:p>
    <w:p>
      <w:pPr>
        <w:pBdr>
          <w:left w:val="single" w:color="CCCCCC" w:sz="4"/>
          <w:right w:val="single" w:color="CCCCCC" w:sz="4"/>
        </w:pBdr>
        <w:shd w:fill="F4F4F4" w:color="auto" w:val="clear"/>
        <w:spacing w:after="0" w:line="240"/>
        <w:ind w:left="240" w:right="240"/>
      </w:pPr>
      <w:r>
        <w:rPr>
          <w:rFonts w:ascii="Consolas" w:cs="Consolas" w:eastAsia="Consolas" w:hAnsi="Consolas"/>
          <w:sz w:val="17"/>
          <w:szCs w:val="17"/>
        </w:rPr>
        <w:t xml:space="preserve">          Silent failure → estimate exposure window before sizing.</w:t>
      </w:r>
    </w:p>
    <w:p>
      <w:pPr>
        <w:pBdr>
          <w:left w:val="single" w:color="CCCCCC" w:sz="4"/>
          <w:right w:val="single" w:color="CCCCCC" w:sz="4"/>
        </w:pBdr>
        <w:shd w:fill="F4F4F4" w:color="auto" w:val="clear"/>
        <w:spacing w:after="0" w:line="240"/>
        <w:ind w:left="240" w:right="240"/>
      </w:pPr>
      <w:r>
        <w:rPr>
          <w:rFonts w:ascii="Consolas" w:cs="Consolas" w:eastAsia="Consolas" w:hAnsi="Consolas"/>
          <w:sz w:val="17"/>
          <w:szCs w:val="17"/>
        </w:rPr>
        <w:t xml:space="preserve"> STEP 4 — SEV-1/2: declare, page IC, open channel. Exec ≤1h (SEV-1).</w:t>
      </w:r>
    </w:p>
    <w:p>
      <w:pPr>
        <w:pBdr>
          <w:left w:val="single" w:color="CCCCCC" w:sz="4"/>
          <w:right w:val="single" w:color="CCCCCC" w:sz="4"/>
        </w:pBdr>
        <w:shd w:fill="F4F4F4" w:color="auto" w:val="clear"/>
        <w:spacing w:after="0" w:line="240"/>
        <w:ind w:left="240" w:right="240"/>
      </w:pPr>
      <w:r>
        <w:rPr>
          <w:rFonts w:ascii="Consolas" w:cs="Consolas" w:eastAsia="Consolas" w:hAnsi="Consolas"/>
          <w:sz w:val="17"/>
          <w:szCs w:val="17"/>
        </w:rPr>
        <w:t xml:space="preserve">          Personal data possibly involved → Privacy NOW (72h clock).</w:t>
      </w:r>
    </w:p>
    <w:p>
      <w:pPr>
        <w:pBdr>
          <w:left w:val="single" w:color="CCCCCC" w:sz="4"/>
          <w:right w:val="single" w:color="CCCCCC" w:sz="4"/>
        </w:pBdr>
        <w:shd w:fill="F4F4F4" w:color="auto" w:val="clear"/>
        <w:spacing w:after="0" w:line="240"/>
        <w:ind w:left="240" w:right="240"/>
      </w:pPr>
      <w:r>
        <w:rPr>
          <w:rFonts w:ascii="Consolas" w:cs="Consolas" w:eastAsia="Consolas" w:hAnsi="Consolas"/>
          <w:sz w:val="17"/>
          <w:szCs w:val="17"/>
        </w:rPr>
        <w:t xml:space="preserve"> STEP 5 — SNAPSHOT BEFORE YOU FIX. Model/version/prompts/config/</w:t>
      </w:r>
    </w:p>
    <w:p>
      <w:pPr>
        <w:pBdr>
          <w:left w:val="single" w:color="CCCCCC" w:sz="4"/>
          <w:right w:val="single" w:color="CCCCCC" w:sz="4"/>
        </w:pBdr>
        <w:shd w:fill="F4F4F4" w:color="auto" w:val="clear"/>
        <w:spacing w:after="0" w:line="240"/>
        <w:ind w:left="240" w:right="240"/>
      </w:pPr>
      <w:r>
        <w:rPr>
          <w:rFonts w:ascii="Consolas" w:cs="Consolas" w:eastAsia="Consolas" w:hAnsi="Consolas"/>
          <w:sz w:val="17"/>
          <w:szCs w:val="17"/>
        </w:rPr>
        <w:t xml:space="preserve">          inputs/outputs/logs. Non-determinism ≠ forgiveness later.</w:t>
      </w:r>
    </w:p>
    <w:p>
      <w:pPr>
        <w:pBdr>
          <w:left w:val="single" w:color="CCCCCC" w:sz="4"/>
          <w:right w:val="single" w:color="CCCCCC" w:sz="4"/>
        </w:pBdr>
        <w:shd w:fill="F4F4F4" w:color="auto" w:val="clear"/>
        <w:spacing w:after="0" w:line="240"/>
        <w:ind w:left="240" w:right="240"/>
      </w:pPr>
      <w:r>
        <w:rPr>
          <w:rFonts w:ascii="Consolas" w:cs="Consolas" w:eastAsia="Consolas" w:hAnsi="Consolas"/>
          <w:sz w:val="17"/>
          <w:szCs w:val="17"/>
        </w:rPr>
        <w:t xml:space="preserve"> STEP 6 — Contain first, diagnose second. Ladder: filters → capability</w:t>
      </w:r>
    </w:p>
    <w:p>
      <w:pPr>
        <w:pBdr>
          <w:bottom w:val="single" w:color="CCCCCC" w:sz="4"/>
          <w:left w:val="single" w:color="CCCCCC" w:sz="4"/>
          <w:right w:val="single" w:color="CCCCCC" w:sz="4"/>
        </w:pBdr>
        <w:shd w:fill="F4F4F4" w:color="auto" w:val="clear"/>
        <w:spacing w:after="0" w:line="240"/>
        <w:ind w:left="240" w:right="240"/>
      </w:pPr>
      <w:r>
        <w:rPr>
          <w:rFonts w:ascii="Consolas" w:cs="Consolas" w:eastAsia="Consolas" w:hAnsi="Consolas"/>
          <w:sz w:val="17"/>
          <w:szCs w:val="17"/>
        </w:rPr>
        <w:t xml:space="preserve">          off → rate-limit → rollback → human-in-loop → KILL SWITCH.</w:t>
      </w:r>
    </w:p>
    <w:p>
      <w:r>
        <w:br w:type="page"/>
      </w:r>
    </w:p>
    <w:p>
      <w:pPr>
        <w:pStyle w:val="Heading1"/>
        <w:spacing w:after="160" w:before="340"/>
      </w:pPr>
      <w:r>
        <w:t xml:space="preserve">Appendix E — Tooling Reference (informative)</w:t>
      </w:r>
    </w:p>
    <w:p>
      <w:pPr>
        <w:spacing w:after="120" w:line="276"/>
      </w:pPr>
      <w:r>
        <w:t xml:space="preserve">This appendix maps playbook capabilities to their current tooling. It is </w:t>
      </w:r>
      <w:r>
        <w:rPr>
          <w:b/>
          <w:bCs/>
        </w:rPr>
        <w:t xml:space="preserve">informative, not normative</w:t>
      </w:r>
      <w:r>
        <w:t xml:space="preserve">: replacing a tool does not require re-approval of this document, provided the capability described in the referenced section is preserved. Tooling changes are recorded in the version history.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2888"/>
        <w:gridCol w:w="1625"/>
      </w:tblGrid>
      <w:tr>
        <w:trPr>
          <w:tblHeader/>
        </w:trPr>
        <w:tc>
          <w:tcPr>
            <w:tcW w:type="dxa" w:w="4513"/>
            <w:shd w:fill="1F3864" w:color="auto" w:val="clear"/>
            <w:tcMar>
              <w:top w:type="dxa" w:w="60"/>
              <w:left w:type="dxa" w:w="80"/>
              <w:bottom w:type="dxa" w:w="60"/>
              <w:right w:type="dxa" w:w="80"/>
            </w:tcMar>
            <w:vAlign w:val="center"/>
          </w:tcPr>
          <w:p>
            <w:pPr>
              <w:spacing w:after="20" w:line="240"/>
            </w:pPr>
            <w:r>
              <w:rPr>
                <w:b/>
                <w:bCs/>
                <w:color w:val="FFFFFF"/>
                <w:sz w:val="18"/>
                <w:szCs w:val="18"/>
              </w:rPr>
              <w:t xml:space="preserve">Playbook capability</w:t>
            </w:r>
          </w:p>
        </w:tc>
        <w:tc>
          <w:tcPr>
            <w:tcW w:type="dxa" w:w="2888"/>
            <w:shd w:fill="1F3864" w:color="auto" w:val="clear"/>
            <w:tcMar>
              <w:top w:type="dxa" w:w="60"/>
              <w:left w:type="dxa" w:w="80"/>
              <w:bottom w:type="dxa" w:w="60"/>
              <w:right w:type="dxa" w:w="80"/>
            </w:tcMar>
            <w:vAlign w:val="center"/>
          </w:tcPr>
          <w:p>
            <w:pPr>
              <w:spacing w:after="20" w:line="240"/>
            </w:pPr>
            <w:r>
              <w:rPr>
                <w:b/>
                <w:bCs/>
                <w:color w:val="FFFFFF"/>
                <w:sz w:val="18"/>
                <w:szCs w:val="18"/>
              </w:rPr>
              <w:t xml:space="preserve">Current implementation</w:t>
            </w:r>
          </w:p>
        </w:tc>
        <w:tc>
          <w:tcPr>
            <w:tcW w:type="dxa" w:w="1625"/>
            <w:shd w:fill="1F3864" w:color="auto" w:val="clear"/>
            <w:tcMar>
              <w:top w:type="dxa" w:w="60"/>
              <w:left w:type="dxa" w:w="80"/>
              <w:bottom w:type="dxa" w:w="60"/>
              <w:right w:type="dxa" w:w="80"/>
            </w:tcMar>
            <w:vAlign w:val="center"/>
          </w:tcPr>
          <w:p>
            <w:pPr>
              <w:spacing w:after="20" w:line="240"/>
            </w:pPr>
            <w:r>
              <w:rPr>
                <w:b/>
                <w:bCs/>
                <w:color w:val="FFFFFF"/>
                <w:sz w:val="18"/>
                <w:szCs w:val="18"/>
              </w:rPr>
              <w:t xml:space="preserve">Section</w:t>
            </w:r>
          </w:p>
        </w:tc>
      </w:tr>
      <w:tr>
        <w:tc>
          <w:tcPr>
            <w:tcW w:type="dxa" w:w="4513"/>
            <w:tcMar>
              <w:top w:type="dxa" w:w="50"/>
              <w:left w:type="dxa" w:w="80"/>
              <w:bottom w:type="dxa" w:w="50"/>
              <w:right w:type="dxa" w:w="80"/>
            </w:tcMar>
          </w:tcPr>
          <w:p>
            <w:pPr>
              <w:spacing w:after="20" w:line="240"/>
            </w:pPr>
            <w:r>
              <w:rPr>
                <w:sz w:val="18"/>
                <w:szCs w:val="18"/>
              </w:rPr>
              <w:t xml:space="preserve">Automated monitoring of AI system outputs and behavior (safety classifiers, drift and anomaly detection)</w:t>
            </w:r>
          </w:p>
        </w:tc>
        <w:tc>
          <w:tcPr>
            <w:tcW w:type="dxa" w:w="2888"/>
            <w:tcMar>
              <w:top w:type="dxa" w:w="50"/>
              <w:left w:type="dxa" w:w="80"/>
              <w:bottom w:type="dxa" w:w="50"/>
              <w:right w:type="dxa" w:w="80"/>
            </w:tcMar>
          </w:tcPr>
          <w:p>
            <w:pPr>
              <w:spacing w:after="20" w:line="240"/>
            </w:pPr>
            <w:r>
              <w:rPr>
                <w:sz w:val="18"/>
                <w:szCs w:val="18"/>
              </w:rPr>
              <w:t xml:space="preserve">Sentinel</w:t>
            </w:r>
          </w:p>
        </w:tc>
        <w:tc>
          <w:tcPr>
            <w:tcW w:type="dxa" w:w="1625"/>
            <w:tcMar>
              <w:top w:type="dxa" w:w="50"/>
              <w:left w:type="dxa" w:w="80"/>
              <w:bottom w:type="dxa" w:w="50"/>
              <w:right w:type="dxa" w:w="80"/>
            </w:tcMar>
          </w:tcPr>
          <w:p>
            <w:pPr>
              <w:spacing w:after="20" w:line="240"/>
            </w:pPr>
            <w:r>
              <w:rPr>
                <w:sz w:val="18"/>
                <w:szCs w:val="18"/>
              </w:rPr>
              <w:t xml:space="preserve">§6.1</w:t>
            </w:r>
          </w:p>
        </w:tc>
      </w:tr>
      <w:tr>
        <w:tc>
          <w:tcPr>
            <w:tcW w:type="dxa" w:w="4513"/>
            <w:shd w:fill="F2F6FB" w:color="auto" w:val="clear"/>
            <w:tcMar>
              <w:top w:type="dxa" w:w="50"/>
              <w:left w:type="dxa" w:w="80"/>
              <w:bottom w:type="dxa" w:w="50"/>
              <w:right w:type="dxa" w:w="80"/>
            </w:tcMar>
          </w:tcPr>
          <w:p>
            <w:pPr>
              <w:spacing w:after="20" w:line="240"/>
            </w:pPr>
            <w:r>
              <w:rPr>
                <w:sz w:val="18"/>
                <w:szCs w:val="18"/>
              </w:rPr>
              <w:t xml:space="preserve">Automated intake record creation with telemetry attached; single intake queue</w:t>
            </w:r>
          </w:p>
        </w:tc>
        <w:tc>
          <w:tcPr>
            <w:tcW w:type="dxa" w:w="2888"/>
            <w:shd w:fill="F2F6FB" w:color="auto" w:val="clear"/>
            <w:tcMar>
              <w:top w:type="dxa" w:w="50"/>
              <w:left w:type="dxa" w:w="80"/>
              <w:bottom w:type="dxa" w:w="50"/>
              <w:right w:type="dxa" w:w="80"/>
            </w:tcMar>
          </w:tcPr>
          <w:p>
            <w:pPr>
              <w:spacing w:after="20" w:line="240"/>
            </w:pPr>
            <w:r>
              <w:rPr>
                <w:sz w:val="18"/>
                <w:szCs w:val="18"/>
              </w:rPr>
              <w:t xml:space="preserve">Sentinel</w:t>
            </w:r>
            <w:r>
              <w:rPr>
                <w:sz w:val="18"/>
                <w:szCs w:val="18"/>
              </w:rPr>
              <w:t xml:space="preserve"> → incident tracker</w:t>
            </w:r>
          </w:p>
        </w:tc>
        <w:tc>
          <w:tcPr>
            <w:tcW w:type="dxa" w:w="1625"/>
            <w:shd w:fill="F2F6FB" w:color="auto" w:val="clear"/>
            <w:tcMar>
              <w:top w:type="dxa" w:w="50"/>
              <w:left w:type="dxa" w:w="80"/>
              <w:bottom w:type="dxa" w:w="50"/>
              <w:right w:type="dxa" w:w="80"/>
            </w:tcMar>
          </w:tcPr>
          <w:p>
            <w:pPr>
              <w:spacing w:after="20" w:line="240"/>
            </w:pPr>
            <w:r>
              <w:rPr>
                <w:sz w:val="18"/>
                <w:szCs w:val="18"/>
              </w:rPr>
              <w:t xml:space="preserve">§6.1</w:t>
            </w:r>
          </w:p>
        </w:tc>
      </w:tr>
      <w:tr>
        <w:tc>
          <w:tcPr>
            <w:tcW w:type="dxa" w:w="4513"/>
            <w:tcMar>
              <w:top w:type="dxa" w:w="50"/>
              <w:left w:type="dxa" w:w="80"/>
              <w:bottom w:type="dxa" w:w="50"/>
              <w:right w:type="dxa" w:w="80"/>
            </w:tcMar>
          </w:tcPr>
          <w:p>
            <w:pPr>
              <w:spacing w:after="20" w:line="240"/>
            </w:pPr>
            <w:r>
              <w:rPr>
                <w:sz w:val="18"/>
                <w:szCs w:val="18"/>
              </w:rPr>
              <w:t xml:space="preserve">High-confidence detection paging</w:t>
            </w:r>
          </w:p>
        </w:tc>
        <w:tc>
          <w:tcPr>
            <w:tcW w:type="dxa" w:w="2888"/>
            <w:tcMar>
              <w:top w:type="dxa" w:w="50"/>
              <w:left w:type="dxa" w:w="80"/>
              <w:bottom w:type="dxa" w:w="50"/>
              <w:right w:type="dxa" w:w="80"/>
            </w:tcMar>
          </w:tcPr>
          <w:p>
            <w:pPr>
              <w:spacing w:after="20" w:line="240"/>
            </w:pPr>
            <w:r>
              <w:rPr>
                <w:sz w:val="18"/>
                <w:szCs w:val="18"/>
              </w:rPr>
              <w:t xml:space="preserve">Sentinel</w:t>
            </w:r>
            <w:r>
              <w:rPr>
                <w:sz w:val="18"/>
                <w:szCs w:val="18"/>
              </w:rPr>
              <w:t xml:space="preserve"> → on-call paging</w:t>
            </w:r>
          </w:p>
        </w:tc>
        <w:tc>
          <w:tcPr>
            <w:tcW w:type="dxa" w:w="1625"/>
            <w:tcMar>
              <w:top w:type="dxa" w:w="50"/>
              <w:left w:type="dxa" w:w="80"/>
              <w:bottom w:type="dxa" w:w="50"/>
              <w:right w:type="dxa" w:w="80"/>
            </w:tcMar>
          </w:tcPr>
          <w:p>
            <w:pPr>
              <w:spacing w:after="20" w:line="240"/>
            </w:pPr>
            <w:r>
              <w:rPr>
                <w:sz w:val="18"/>
                <w:szCs w:val="18"/>
              </w:rPr>
              <w:t xml:space="preserve">§6.1, §6.3</w:t>
            </w:r>
          </w:p>
        </w:tc>
      </w:tr>
      <w:tr>
        <w:tc>
          <w:tcPr>
            <w:tcW w:type="dxa" w:w="4513"/>
            <w:shd w:fill="F2F6FB" w:color="auto" w:val="clear"/>
            <w:tcMar>
              <w:top w:type="dxa" w:w="50"/>
              <w:left w:type="dxa" w:w="80"/>
              <w:bottom w:type="dxa" w:w="50"/>
              <w:right w:type="dxa" w:w="80"/>
            </w:tcMar>
          </w:tcPr>
          <w:p>
            <w:pPr>
              <w:spacing w:after="20" w:line="240"/>
            </w:pPr>
            <w:r>
              <w:rPr>
                <w:sz w:val="18"/>
                <w:szCs w:val="18"/>
              </w:rPr>
              <w:t xml:space="preserve">Suggested category/severity pre-classification at triage (human-ratified, §6.2)</w:t>
            </w:r>
          </w:p>
        </w:tc>
        <w:tc>
          <w:tcPr>
            <w:tcW w:type="dxa" w:w="2888"/>
            <w:shd w:fill="F2F6FB" w:color="auto" w:val="clear"/>
            <w:tcMar>
              <w:top w:type="dxa" w:w="50"/>
              <w:left w:type="dxa" w:w="80"/>
              <w:bottom w:type="dxa" w:w="50"/>
              <w:right w:type="dxa" w:w="80"/>
            </w:tcMar>
          </w:tcPr>
          <w:p>
            <w:pPr>
              <w:spacing w:after="20" w:line="240"/>
            </w:pPr>
            <w:r>
              <w:rPr>
                <w:sz w:val="18"/>
                <w:szCs w:val="18"/>
              </w:rPr>
              <w:t xml:space="preserve">Sentinel</w:t>
            </w:r>
          </w:p>
        </w:tc>
        <w:tc>
          <w:tcPr>
            <w:tcW w:type="dxa" w:w="1625"/>
            <w:shd w:fill="F2F6FB" w:color="auto" w:val="clear"/>
            <w:tcMar>
              <w:top w:type="dxa" w:w="50"/>
              <w:left w:type="dxa" w:w="80"/>
              <w:bottom w:type="dxa" w:w="50"/>
              <w:right w:type="dxa" w:w="80"/>
            </w:tcMar>
          </w:tcPr>
          <w:p>
            <w:pPr>
              <w:spacing w:after="20" w:line="240"/>
            </w:pPr>
            <w:r>
              <w:rPr>
                <w:sz w:val="18"/>
                <w:szCs w:val="18"/>
              </w:rPr>
              <w:t xml:space="preserve">§6.2</w:t>
            </w:r>
          </w:p>
        </w:tc>
      </w:tr>
      <w:tr>
        <w:tc>
          <w:tcPr>
            <w:tcW w:type="dxa" w:w="4513"/>
            <w:tcMar>
              <w:top w:type="dxa" w:w="50"/>
              <w:left w:type="dxa" w:w="80"/>
              <w:bottom w:type="dxa" w:w="50"/>
              <w:right w:type="dxa" w:w="80"/>
            </w:tcMar>
          </w:tcPr>
          <w:p>
            <w:pPr>
              <w:spacing w:after="20" w:line="240"/>
            </w:pPr>
            <w:r>
              <w:rPr>
                <w:sz w:val="18"/>
                <w:szCs w:val="18"/>
              </w:rPr>
              <w:t xml:space="preserve">Incident tracking, timeline log, PIR action tracking</w:t>
            </w:r>
          </w:p>
        </w:tc>
        <w:tc>
          <w:tcPr>
            <w:tcW w:type="dxa" w:w="2888"/>
            <w:tcMar>
              <w:top w:type="dxa" w:w="50"/>
              <w:left w:type="dxa" w:w="80"/>
              <w:bottom w:type="dxa" w:w="50"/>
              <w:right w:type="dxa" w:w="80"/>
            </w:tcMar>
          </w:tcPr>
          <w:p>
            <w:pPr>
              <w:spacing w:after="20" w:line="240"/>
            </w:pPr>
            <w:r>
              <w:rPr>
                <w:sz w:val="18"/>
                <w:szCs w:val="18"/>
              </w:rPr>
              <w:t xml:space="preserve">Incident tracker</w:t>
            </w:r>
          </w:p>
        </w:tc>
        <w:tc>
          <w:tcPr>
            <w:tcW w:type="dxa" w:w="1625"/>
            <w:tcMar>
              <w:top w:type="dxa" w:w="50"/>
              <w:left w:type="dxa" w:w="80"/>
              <w:bottom w:type="dxa" w:w="50"/>
              <w:right w:type="dxa" w:w="80"/>
            </w:tcMar>
          </w:tcPr>
          <w:p>
            <w:pPr>
              <w:spacing w:after="20" w:line="240"/>
            </w:pPr>
            <w:r>
              <w:rPr>
                <w:sz w:val="18"/>
                <w:szCs w:val="18"/>
              </w:rPr>
              <w:t xml:space="preserve">§6, App. A–C</w:t>
            </w:r>
          </w:p>
        </w:tc>
      </w:tr>
      <w:tr>
        <w:tc>
          <w:tcPr>
            <w:tcW w:type="dxa" w:w="4513"/>
            <w:shd w:fill="F2F6FB" w:color="auto" w:val="clear"/>
            <w:tcMar>
              <w:top w:type="dxa" w:w="50"/>
              <w:left w:type="dxa" w:w="80"/>
              <w:bottom w:type="dxa" w:w="50"/>
              <w:right w:type="dxa" w:w="80"/>
            </w:tcMar>
          </w:tcPr>
          <w:p>
            <w:pPr>
              <w:spacing w:after="20" w:line="240"/>
            </w:pPr>
            <w:r>
              <w:rPr>
                <w:sz w:val="18"/>
                <w:szCs w:val="18"/>
              </w:rPr>
              <w:t xml:space="preserve">Behavioral snapshot storage</w:t>
            </w:r>
          </w:p>
        </w:tc>
        <w:tc>
          <w:tcPr>
            <w:tcW w:type="dxa" w:w="2888"/>
            <w:shd w:fill="F2F6FB" w:color="auto" w:val="clear"/>
            <w:tcMar>
              <w:top w:type="dxa" w:w="50"/>
              <w:left w:type="dxa" w:w="80"/>
              <w:bottom w:type="dxa" w:w="50"/>
              <w:right w:type="dxa" w:w="80"/>
            </w:tcMar>
          </w:tcPr>
          <w:p>
            <w:pPr>
              <w:spacing w:after="20" w:line="240"/>
            </w:pPr>
            <w:r>
              <w:rPr>
                <w:sz w:val="18"/>
                <w:szCs w:val="18"/>
              </w:rPr>
              <w:t xml:space="preserve">Evidence store per Enterprise IR standards</w:t>
            </w:r>
          </w:p>
        </w:tc>
        <w:tc>
          <w:tcPr>
            <w:tcW w:type="dxa" w:w="1625"/>
            <w:shd w:fill="F2F6FB" w:color="auto" w:val="clear"/>
            <w:tcMar>
              <w:top w:type="dxa" w:w="50"/>
              <w:left w:type="dxa" w:w="80"/>
              <w:bottom w:type="dxa" w:w="50"/>
              <w:right w:type="dxa" w:w="80"/>
            </w:tcMar>
          </w:tcPr>
          <w:p>
            <w:pPr>
              <w:spacing w:after="20" w:line="240"/>
            </w:pPr>
            <w:r>
              <w:rPr>
                <w:sz w:val="18"/>
                <w:szCs w:val="18"/>
              </w:rPr>
              <w:t xml:space="preserve">§6.4</w:t>
            </w:r>
          </w:p>
        </w:tc>
      </w:tr>
    </w:tbl>
    <w:p>
      <w:pPr>
        <w:spacing w:after="120"/>
      </w:pPr>
    </w:p>
    <w:p>
      <w:pPr>
        <w:pBdr>
          <w:left w:val="single" w:color="2E5496" w:sz="12" w:space="8"/>
        </w:pBdr>
        <w:spacing w:after="160"/>
        <w:ind w:left="240"/>
      </w:pPr>
      <w:r>
        <w:rPr>
          <w:i/>
          <w:iCs/>
          <w:color w:val="6B6B6B"/>
          <w:sz w:val="20"/>
          <w:szCs w:val="20"/>
        </w:rPr>
        <w:t xml:space="preserve">Capabilities without automated tooling (e.g., RACI execution, RCA facilitation) are intentionally absent: they are human processes by design.</w:t>
      </w:r>
    </w:p>
    <w:p>
      <w:r>
        <w:br w:type="page"/>
      </w:r>
    </w:p>
    <w:p>
      <w:pPr>
        <w:pStyle w:val="Heading1"/>
        <w:spacing w:after="160" w:before="340"/>
      </w:pPr>
      <w:r>
        <w:t xml:space="preserve">Appendix F — Runbook Exemplar: C1 Harmful or Policy-Violating Output</w:t>
      </w:r>
    </w:p>
    <w:p>
      <w:pPr>
        <w:spacing w:after="120" w:line="276"/>
      </w:pPr>
      <w:r>
        <w:t xml:space="preserve">This playbook is deliberately process-level. Each incident category has a child </w:t>
      </w:r>
      <w:r>
        <w:rPr>
          <w:b/>
          <w:bCs/>
        </w:rPr>
        <w:t xml:space="preserve">runbook</w:t>
      </w:r>
      <w:r>
        <w:t xml:space="preserve"> (MDA-TS-RB-001…007) maintained by its category owner and exercised in quarterly tabletops. The C1 runbook is reproduced here as the pattern exemplar — the other six follow the same three-block structure.</w:t>
      </w:r>
    </w:p>
    <w:p>
      <w:pPr>
        <w:pStyle w:val="Heading2"/>
        <w:spacing w:after="120" w:before="260"/>
      </w:pPr>
      <w:r>
        <w:t xml:space="preserve">First 30 minutes (any responder)</w:t>
      </w:r>
    </w:p>
    <w:p>
      <w:pPr>
        <w:pStyle w:val="ListParagraph"/>
        <w:numPr>
          <w:ilvl w:val="0"/>
          <w:numId w:val="2"/>
        </w:numPr>
        <w:spacing w:after="80" w:line="276"/>
      </w:pPr>
      <w:r>
        <w:t xml:space="preserve">☐ </w:t>
      </w:r>
      <w:r>
        <w:rPr>
          <w:b/>
          <w:bCs/>
        </w:rPr>
        <w:t xml:space="preserve">Preserve the behavioral snapshot</w:t>
      </w:r>
      <w:r>
        <w:t xml:space="preserve"> (§6.4): model/version IDs, system prompt, guardrail config, triggering input/output verbatim, retrieval context, session logs</w:t>
      </w:r>
    </w:p>
    <w:p>
      <w:pPr>
        <w:pStyle w:val="ListParagraph"/>
        <w:numPr>
          <w:ilvl w:val="0"/>
          <w:numId w:val="2"/>
        </w:numPr>
        <w:spacing w:after="80" w:line="276"/>
      </w:pPr>
      <w:r>
        <w:t xml:space="preserve">☐ Raise an incident candidate with the verbatim output attached (screenshot + log reference)</w:t>
      </w:r>
    </w:p>
    <w:p>
      <w:pPr>
        <w:pStyle w:val="ListParagraph"/>
        <w:numPr>
          <w:ilvl w:val="0"/>
          <w:numId w:val="2"/>
        </w:numPr>
        <w:spacing w:after="80" w:line="276"/>
      </w:pPr>
      <w:r>
        <w:t xml:space="preserve">☐ Do not interact further with the affected session beyond capture</w:t>
      </w:r>
    </w:p>
    <w:p>
      <w:pPr>
        <w:pStyle w:val="ListParagraph"/>
        <w:numPr>
          <w:ilvl w:val="0"/>
          <w:numId w:val="2"/>
        </w:numPr>
        <w:spacing w:after="80" w:line="276"/>
      </w:pPr>
      <w:r>
        <w:t xml:space="preserve">☐ Search output logs for the </w:t>
      </w:r>
      <w:r>
        <w:rPr>
          <w:b/>
          <w:bCs/>
        </w:rPr>
        <w:t xml:space="preserve">pattern</w:t>
      </w:r>
      <w:r>
        <w:t xml:space="preserve">, not the instance (classifier label, key phrases, template match) — is this one output or a class?</w:t>
      </w:r>
    </w:p>
    <w:p>
      <w:pPr>
        <w:pStyle w:val="ListParagraph"/>
        <w:numPr>
          <w:ilvl w:val="0"/>
          <w:numId w:val="2"/>
        </w:numPr>
        <w:spacing w:after="80" w:line="276"/>
      </w:pPr>
      <w:r>
        <w:t xml:space="preserve">☐ Estimate reach: how many users saw — or acted on — similar outputs?</w:t>
      </w:r>
    </w:p>
    <w:p>
      <w:pPr>
        <w:pStyle w:val="Heading2"/>
        <w:spacing w:after="120" w:before="260"/>
      </w:pPr>
      <w:r>
        <w:t xml:space="preserve">Containment (IC + Model Owner, per §3.4 authority)</w:t>
      </w:r>
    </w:p>
    <w:p>
      <w:pPr>
        <w:pStyle w:val="ListParagraph"/>
        <w:numPr>
          <w:ilvl w:val="0"/>
          <w:numId w:val="2"/>
        </w:numPr>
        <w:spacing w:after="80" w:line="276"/>
      </w:pPr>
      <w:r>
        <w:t xml:space="preserve">☐ Ladder rung 1: tighten output filter / add a block rule for the output class</w:t>
      </w:r>
    </w:p>
    <w:p>
      <w:pPr>
        <w:pStyle w:val="ListParagraph"/>
        <w:numPr>
          <w:ilvl w:val="0"/>
          <w:numId w:val="2"/>
        </w:numPr>
        <w:spacing w:after="80" w:line="276"/>
      </w:pPr>
      <w:r>
        <w:t xml:space="preserve">☐ If the harm is tool-mediated: disable the implicated capability (rung 2)</w:t>
      </w:r>
    </w:p>
    <w:p>
      <w:pPr>
        <w:pStyle w:val="ListParagraph"/>
        <w:numPr>
          <w:ilvl w:val="0"/>
          <w:numId w:val="2"/>
        </w:numPr>
        <w:spacing w:after="80" w:line="276"/>
      </w:pPr>
      <w:r>
        <w:t xml:space="preserve">☐ If the output was </w:t>
      </w:r>
      <w:r>
        <w:rPr>
          <w:b/>
          <w:bCs/>
        </w:rPr>
        <w:t xml:space="preserve">actionable</w:t>
      </w:r>
      <w:r>
        <w:t xml:space="preserve"> (e.g., payment or transfer instructions): warn exposed users via support macro </w:t>
      </w:r>
      <w:r>
        <w:rPr>
          <w:i/>
          <w:iCs/>
        </w:rPr>
        <w:t xml:space="preserve">now</w:t>
      </w:r>
      <w:r>
        <w:t xml:space="preserve"> — containment includes the users, not just the model</w:t>
      </w:r>
    </w:p>
    <w:p>
      <w:pPr>
        <w:pStyle w:val="ListParagraph"/>
        <w:numPr>
          <w:ilvl w:val="0"/>
          <w:numId w:val="2"/>
        </w:numPr>
        <w:spacing w:after="80" w:line="276"/>
      </w:pPr>
      <w:r>
        <w:t xml:space="preserve">☐ Verify via monitoring that the output class stopped (not merely that the patch shipped)</w:t>
      </w:r>
    </w:p>
    <w:p>
      <w:pPr>
        <w:pStyle w:val="Heading2"/>
        <w:spacing w:after="120" w:before="260"/>
      </w:pPr>
      <w:r>
        <w:t xml:space="preserve">Handoff to investigation</w:t>
      </w:r>
    </w:p>
    <w:p>
      <w:pPr>
        <w:pStyle w:val="ListParagraph"/>
        <w:numPr>
          <w:ilvl w:val="0"/>
          <w:numId w:val="2"/>
        </w:numPr>
        <w:spacing w:after="80" w:line="276"/>
      </w:pPr>
      <w:r>
        <w:t xml:space="preserve">☐ Reproduction attempt against the snapshot; record the reproduction </w:t>
      </w:r>
      <w:r>
        <w:rPr>
          <w:b/>
          <w:bCs/>
        </w:rPr>
        <w:t xml:space="preserve">rate</w:t>
      </w:r>
    </w:p>
    <w:p>
      <w:pPr>
        <w:pStyle w:val="ListParagraph"/>
        <w:numPr>
          <w:ilvl w:val="0"/>
          <w:numId w:val="2"/>
        </w:numPr>
        <w:spacing w:after="80" w:line="276"/>
      </w:pPr>
      <w:r>
        <w:t xml:space="preserve">☐ Check the retrieval corpus for contaminated or compromised source content</w:t>
      </w:r>
    </w:p>
    <w:p>
      <w:pPr>
        <w:pStyle w:val="ListParagraph"/>
        <w:numPr>
          <w:ilvl w:val="0"/>
          <w:numId w:val="2"/>
        </w:numPr>
        <w:spacing w:after="80" w:line="276"/>
      </w:pPr>
      <w:r>
        <w:t xml:space="preserve">☐ File eval-case candidates from every captured instance</w:t>
      </w:r>
    </w:p>
    <w:p>
      <w:pPr>
        <w:spacing w:after="120" w:line="276"/>
      </w:pPr>
      <w:r>
        <w:rPr>
          <w:b/>
          <w:bCs/>
        </w:rPr>
        <w:t xml:space="preserve">In-runbook escalation triggers:</w:t>
      </w:r>
      <w:r>
        <w:t xml:space="preserve"> output facilitates violence, self-harm, or financial theft → SEV-1 floor, page IC immediately · any user acted on the output → open a user-remediation track in parallel with containment.</w:t>
      </w:r>
    </w:p>
    <w:p>
      <w:pPr>
        <w:spacing w:before="300"/>
        <w:jc w:val="center"/>
      </w:pPr>
      <w:r>
        <w:rPr>
          <w:i/>
          <w:iCs/>
          <w:color w:val="6B6B6B"/>
          <w:sz w:val="18"/>
          <w:szCs w:val="18"/>
        </w:rPr>
        <w:t xml:space="preserve">End of document — MDA-TS-PB-014 v1.2</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A8A8A"/>
        <w:sz w:val="16"/>
        <w:szCs w:val="16"/>
      </w:rPr>
      <w:t xml:space="preserve">MDA-TS-PB-014 v1.2   ·   Page </w:t>
    </w:r>
    <w:r>
      <w:rPr>
        <w:color w:val="8A8A8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0D0" w:sz="4" w:space="4"/>
      </w:pBdr>
      <w:jc w:val="left"/>
    </w:pPr>
    <w:r>
      <w:rPr>
        <w:color w:val="8A8A8A"/>
        <w:sz w:val="16"/>
        <w:szCs w:val="16"/>
      </w:rPr>
      <w:t xml:space="preserve">AI Incident Response Playbook — Meridian Digital Assets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20"/>
      </w:pPr>
    </w:lvl>
  </w:abstractNum>
  <w:abstractNum w:abstractNumId="3" w15:restartNumberingAfterBreak="0">
    <w:multiLevelType w:val="hybridMultilevel"/>
    <w:lvl w:ilvl="0" w15:tentative="1">
      <w:start w:val="1"/>
      <w:numFmt w:val="decimal"/>
      <w:lvlText w:val="%1."/>
      <w:lvlJc w:val="left"/>
      <w:pPr>
        <w:ind w:left="44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40"/>
    </w:pPr>
    <w:rPr>
      <w:rFonts w:ascii="Calibri" w:cs="Calibri" w:eastAsia="Calibri" w:hAnsi="Calibri"/>
      <w:b/>
      <w:bCs/>
      <w:color w:val="1F3864"/>
      <w:sz w:val="32"/>
      <w:szCs w:val="32"/>
    </w:rPr>
  </w:style>
  <w:style w:type="paragraph" w:styleId="Heading2">
    <w:name w:val="Heading 2"/>
    <w:basedOn w:val="Normal"/>
    <w:next w:val="Normal"/>
    <w:qFormat/>
    <w:pPr>
      <w:spacing w:after="120" w:before="260"/>
    </w:pPr>
    <w:rPr>
      <w:rFonts w:ascii="Calibri" w:cs="Calibri" w:eastAsia="Calibri" w:hAnsi="Calibri"/>
      <w:b/>
      <w:bCs/>
      <w:color w:val="2E5496"/>
      <w:sz w:val="26"/>
      <w:szCs w:val="26"/>
    </w:rPr>
  </w:style>
  <w:style w:type="paragraph" w:styleId="Heading3">
    <w:name w:val="Heading 3"/>
    <w:basedOn w:val="Normal"/>
    <w:next w:val="Normal"/>
    <w:qFormat/>
    <w:pPr>
      <w:spacing w:after="100" w:before="200"/>
    </w:pPr>
    <w:rPr>
      <w:rFonts w:ascii="Calibri" w:cs="Calibri" w:eastAsia="Calibri" w:hAnsi="Calibri"/>
      <w:b/>
      <w:bCs/>
      <w:color w:val="404040"/>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2026-07-07T22:20:28.126Z</dcterms:created>
  <dcterms:modified xsi:type="dcterms:W3CDTF">2026-07-07T22:20:28.127Z</dcterms:modified>
</cp:coreProperties>
</file>

<file path=docProps/custom.xml><?xml version="1.0" encoding="utf-8"?>
<Properties xmlns="http://schemas.openxmlformats.org/officeDocument/2006/custom-properties" xmlns:vt="http://schemas.openxmlformats.org/officeDocument/2006/docPropsVTypes"/>
</file>